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Pr="007D0A96" w:rsidRDefault="0063372A" w:rsidP="0063372A">
      <w:pPr>
        <w:outlineLvl w:val="0"/>
        <w:rPr>
          <w:rFonts w:ascii="Times" w:hAnsi="Times"/>
        </w:rPr>
      </w:pPr>
    </w:p>
    <w:p w:rsidR="00BC2006" w:rsidRPr="00BC2006" w:rsidRDefault="00ED35E1" w:rsidP="00BC2006">
      <w:pPr>
        <w:pStyle w:val="VDITitre"/>
      </w:pPr>
      <w:r>
        <w:rPr>
          <w:color w:val="auto"/>
        </w:rPr>
        <w:t>J’enquête donc je suis</w:t>
      </w:r>
    </w:p>
    <w:p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ED35E1">
        <w:t xml:space="preserve">Camille </w:t>
      </w:r>
      <w:proofErr w:type="spellStart"/>
      <w:r w:rsidR="00ED35E1">
        <w:t>Ternier</w:t>
      </w:r>
      <w:proofErr w:type="spellEnd"/>
    </w:p>
    <w:p w:rsidR="00ED35E1" w:rsidRPr="00ED35E1" w:rsidRDefault="00ED35E1" w:rsidP="00ED35E1">
      <w:pPr>
        <w:pStyle w:val="VDIChapo"/>
      </w:pPr>
      <w:r w:rsidRPr="00ED35E1">
        <w:t xml:space="preserve">On ne </w:t>
      </w:r>
      <w:proofErr w:type="spellStart"/>
      <w:r w:rsidRPr="00ED35E1">
        <w:t>choisit</w:t>
      </w:r>
      <w:proofErr w:type="spellEnd"/>
      <w:r w:rsidRPr="00ED35E1">
        <w:t xml:space="preserve"> pas </w:t>
      </w:r>
      <w:proofErr w:type="spellStart"/>
      <w:r w:rsidRPr="00ED35E1">
        <w:t>toujours</w:t>
      </w:r>
      <w:proofErr w:type="spellEnd"/>
      <w:r w:rsidRPr="00ED35E1">
        <w:t xml:space="preserve"> </w:t>
      </w:r>
      <w:proofErr w:type="spellStart"/>
      <w:r w:rsidRPr="00ED35E1">
        <w:t>d’aller</w:t>
      </w:r>
      <w:proofErr w:type="spellEnd"/>
      <w:r w:rsidRPr="00ED35E1">
        <w:t xml:space="preserve"> </w:t>
      </w:r>
      <w:proofErr w:type="spellStart"/>
      <w:r w:rsidRPr="00ED35E1">
        <w:t>sur</w:t>
      </w:r>
      <w:proofErr w:type="spellEnd"/>
      <w:r w:rsidRPr="00ED35E1">
        <w:t xml:space="preserve"> </w:t>
      </w:r>
      <w:proofErr w:type="spellStart"/>
      <w:r w:rsidRPr="00ED35E1">
        <w:t>le</w:t>
      </w:r>
      <w:proofErr w:type="spellEnd"/>
      <w:r w:rsidRPr="00ED35E1">
        <w:t xml:space="preserve"> </w:t>
      </w:r>
      <w:proofErr w:type="spellStart"/>
      <w:r w:rsidRPr="00ED35E1">
        <w:t>terrain</w:t>
      </w:r>
      <w:proofErr w:type="spellEnd"/>
      <w:r w:rsidRPr="00ED35E1">
        <w:t xml:space="preserve">, </w:t>
      </w:r>
      <w:proofErr w:type="gramStart"/>
      <w:r w:rsidRPr="00ED35E1">
        <w:t>mais on</w:t>
      </w:r>
      <w:proofErr w:type="gramEnd"/>
      <w:r w:rsidRPr="00ED35E1">
        <w:t xml:space="preserve"> </w:t>
      </w:r>
      <w:proofErr w:type="spellStart"/>
      <w:r w:rsidRPr="00ED35E1">
        <w:t>choisit</w:t>
      </w:r>
      <w:proofErr w:type="spellEnd"/>
      <w:r w:rsidRPr="00ED35E1">
        <w:t xml:space="preserve"> </w:t>
      </w:r>
      <w:proofErr w:type="spellStart"/>
      <w:r w:rsidRPr="00ED35E1">
        <w:t>d’y</w:t>
      </w:r>
      <w:proofErr w:type="spellEnd"/>
      <w:r w:rsidRPr="00ED35E1">
        <w:t xml:space="preserve"> </w:t>
      </w:r>
      <w:proofErr w:type="spellStart"/>
      <w:r w:rsidRPr="00ED35E1">
        <w:t>rester</w:t>
      </w:r>
      <w:proofErr w:type="spellEnd"/>
      <w:r w:rsidRPr="00ED35E1">
        <w:t xml:space="preserve">, </w:t>
      </w:r>
      <w:proofErr w:type="spellStart"/>
      <w:r w:rsidRPr="00ED35E1">
        <w:t>voire</w:t>
      </w:r>
      <w:proofErr w:type="spellEnd"/>
      <w:r w:rsidRPr="00ED35E1">
        <w:t xml:space="preserve"> </w:t>
      </w:r>
      <w:proofErr w:type="spellStart"/>
      <w:r w:rsidRPr="00ED35E1">
        <w:t>d’y</w:t>
      </w:r>
      <w:proofErr w:type="spellEnd"/>
      <w:r w:rsidRPr="00ED35E1">
        <w:t xml:space="preserve"> </w:t>
      </w:r>
      <w:proofErr w:type="spellStart"/>
      <w:r w:rsidRPr="00ED35E1">
        <w:t>retourner</w:t>
      </w:r>
      <w:proofErr w:type="spellEnd"/>
      <w:r w:rsidRPr="00ED35E1">
        <w:t xml:space="preserve">. </w:t>
      </w:r>
      <w:proofErr w:type="spellStart"/>
      <w:r w:rsidRPr="00ED35E1">
        <w:t>Quatre</w:t>
      </w:r>
      <w:proofErr w:type="spellEnd"/>
      <w:r w:rsidRPr="00ED35E1">
        <w:t xml:space="preserve"> </w:t>
      </w:r>
      <w:proofErr w:type="spellStart"/>
      <w:r w:rsidRPr="00ED35E1">
        <w:t>philosophes</w:t>
      </w:r>
      <w:proofErr w:type="spellEnd"/>
      <w:r w:rsidRPr="00ED35E1">
        <w:t xml:space="preserve"> partagent leur </w:t>
      </w:r>
      <w:proofErr w:type="spellStart"/>
      <w:r w:rsidRPr="00ED35E1">
        <w:t>expérience</w:t>
      </w:r>
      <w:proofErr w:type="spellEnd"/>
      <w:r w:rsidRPr="00ED35E1">
        <w:t xml:space="preserve"> de </w:t>
      </w:r>
      <w:proofErr w:type="spellStart"/>
      <w:r w:rsidRPr="00ED35E1">
        <w:t>terrain</w:t>
      </w:r>
      <w:proofErr w:type="spellEnd"/>
      <w:r w:rsidRPr="00ED35E1">
        <w:t xml:space="preserve"> et </w:t>
      </w:r>
      <w:proofErr w:type="spellStart"/>
      <w:r w:rsidRPr="00ED35E1">
        <w:t>rendent</w:t>
      </w:r>
      <w:proofErr w:type="spellEnd"/>
      <w:r w:rsidRPr="00ED35E1">
        <w:t xml:space="preserve"> </w:t>
      </w:r>
      <w:proofErr w:type="spellStart"/>
      <w:r w:rsidRPr="00ED35E1">
        <w:t>compte</w:t>
      </w:r>
      <w:proofErr w:type="spellEnd"/>
      <w:r w:rsidRPr="00ED35E1">
        <w:t xml:space="preserve"> de </w:t>
      </w:r>
      <w:proofErr w:type="spellStart"/>
      <w:r w:rsidRPr="00ED35E1">
        <w:t>son</w:t>
      </w:r>
      <w:proofErr w:type="spellEnd"/>
      <w:r w:rsidRPr="00ED35E1">
        <w:t xml:space="preserve"> </w:t>
      </w:r>
      <w:proofErr w:type="spellStart"/>
      <w:r w:rsidRPr="00ED35E1">
        <w:t>rôle</w:t>
      </w:r>
      <w:proofErr w:type="spellEnd"/>
      <w:r w:rsidRPr="00ED35E1">
        <w:t xml:space="preserve"> dans leur </w:t>
      </w:r>
      <w:proofErr w:type="spellStart"/>
      <w:r w:rsidRPr="00ED35E1">
        <w:t>réflexion</w:t>
      </w:r>
      <w:proofErr w:type="spellEnd"/>
      <w:r w:rsidRPr="00ED35E1">
        <w:t xml:space="preserve"> </w:t>
      </w:r>
      <w:proofErr w:type="spellStart"/>
      <w:r w:rsidRPr="00ED35E1">
        <w:t>philosophique</w:t>
      </w:r>
      <w:proofErr w:type="spellEnd"/>
      <w:r w:rsidRPr="00ED35E1">
        <w:t>.</w:t>
      </w:r>
    </w:p>
    <w:p w:rsidR="00ED35E1" w:rsidRPr="00F979AD" w:rsidRDefault="00340972" w:rsidP="00ED35E1">
      <w:pPr>
        <w:pStyle w:val="VDIRecens"/>
      </w:pPr>
      <w:r w:rsidRPr="00A24B5F">
        <w:t>À propos d</w:t>
      </w:r>
      <w:r>
        <w:t xml:space="preserve">e : </w:t>
      </w:r>
      <w:r w:rsidR="00ED35E1" w:rsidRPr="00F979AD">
        <w:t xml:space="preserve">Isabelle </w:t>
      </w:r>
      <w:proofErr w:type="spellStart"/>
      <w:r w:rsidR="00ED35E1" w:rsidRPr="00F979AD">
        <w:t>Delpla</w:t>
      </w:r>
      <w:proofErr w:type="spellEnd"/>
      <w:r w:rsidR="00ED35E1" w:rsidRPr="00F979AD">
        <w:t xml:space="preserve">, Sophie </w:t>
      </w:r>
      <w:proofErr w:type="spellStart"/>
      <w:r w:rsidR="00ED35E1" w:rsidRPr="00F979AD">
        <w:t>Djigo</w:t>
      </w:r>
      <w:proofErr w:type="spellEnd"/>
      <w:r w:rsidR="00ED35E1" w:rsidRPr="00F979AD">
        <w:t xml:space="preserve">, Olivier </w:t>
      </w:r>
      <w:proofErr w:type="spellStart"/>
      <w:r w:rsidR="00ED35E1" w:rsidRPr="00F979AD">
        <w:t>Razac</w:t>
      </w:r>
      <w:proofErr w:type="spellEnd"/>
      <w:r w:rsidR="00ED35E1" w:rsidRPr="00F979AD">
        <w:t xml:space="preserve">, Christiane </w:t>
      </w:r>
      <w:proofErr w:type="spellStart"/>
      <w:r w:rsidR="00ED35E1" w:rsidRPr="00427E6A">
        <w:t>Vollaire</w:t>
      </w:r>
      <w:proofErr w:type="spellEnd"/>
      <w:r w:rsidR="00ED35E1" w:rsidRPr="00427E6A">
        <w:t>,</w:t>
      </w:r>
      <w:r w:rsidR="00ED35E1">
        <w:t xml:space="preserve"> </w:t>
      </w:r>
      <w:r w:rsidR="00ED35E1" w:rsidRPr="00F979AD">
        <w:rPr>
          <w:i/>
          <w:iCs/>
        </w:rPr>
        <w:t>Des philosophes sur le terrain</w:t>
      </w:r>
      <w:r w:rsidR="00ED35E1" w:rsidRPr="00F979AD">
        <w:t xml:space="preserve">, </w:t>
      </w:r>
      <w:r w:rsidR="00ED35E1" w:rsidRPr="00427E6A">
        <w:t>Saint-Étienne</w:t>
      </w:r>
      <w:r w:rsidR="00ED35E1">
        <w:t>,</w:t>
      </w:r>
      <w:r w:rsidR="00ED35E1" w:rsidRPr="00427E6A">
        <w:t xml:space="preserve"> </w:t>
      </w:r>
      <w:proofErr w:type="spellStart"/>
      <w:r w:rsidR="00ED35E1" w:rsidRPr="00427E6A">
        <w:t>Creaphis</w:t>
      </w:r>
      <w:proofErr w:type="spellEnd"/>
      <w:r w:rsidR="00ED35E1" w:rsidRPr="00F979AD">
        <w:t xml:space="preserve"> éditions, 2022</w:t>
      </w:r>
      <w:r w:rsidR="00ED35E1">
        <w:t>, 256 p., 12 €.</w:t>
      </w:r>
    </w:p>
    <w:p w:rsidR="00ED35E1" w:rsidRDefault="00ED35E1" w:rsidP="00DD3CF2">
      <w:pPr>
        <w:pStyle w:val="Corps"/>
      </w:pPr>
      <w:r>
        <w:t>Dans la tradition anthropologique, l’enquête de terrain est une ethnographie qui se distingue d’une simple « visite » sur le terrain : elle se pense comme « présence longue sur place, établissement de relations de proximité et de confiance avec certains enquêtés, écoute attentive et travail patient de plusieurs mois ou de plusieurs années</w:t>
      </w:r>
      <w:r w:rsidRPr="000757CF">
        <w:rPr>
          <w:rStyle w:val="Appelnotedebasdep"/>
        </w:rPr>
        <w:footnoteReference w:id="1"/>
      </w:r>
      <w:r>
        <w:t> ». Depuis quelque temps, des philosophes expérimentent également l’enquête de terrain, dans l’espoir qu’elle devienne une méthode proprement philosophique</w:t>
      </w:r>
      <w:r w:rsidRPr="000757CF">
        <w:rPr>
          <w:rStyle w:val="Appelnotedebasdep"/>
        </w:rPr>
        <w:footnoteReference w:id="2"/>
      </w:r>
      <w:r>
        <w:t>. Qu’a de spécifique l’approche philosophique du terrain par rapport à celle, bien établie, des sciences sociales ?</w:t>
      </w:r>
      <w:r w:rsidRPr="001C6083">
        <w:t xml:space="preserve"> </w:t>
      </w:r>
      <w:r>
        <w:t>Cet ouvrage collectif, qui réunit les</w:t>
      </w:r>
      <w:r w:rsidRPr="00FA4D84">
        <w:t xml:space="preserve"> </w:t>
      </w:r>
      <w:r w:rsidRPr="00573854">
        <w:t xml:space="preserve">contributions </w:t>
      </w:r>
      <w:r>
        <w:t xml:space="preserve">de </w:t>
      </w:r>
      <w:r>
        <w:lastRenderedPageBreak/>
        <w:t xml:space="preserve">quatre philosophes </w:t>
      </w:r>
      <w:proofErr w:type="spellStart"/>
      <w:r w:rsidRPr="00573854">
        <w:t>français·e·</w:t>
      </w:r>
      <w:r>
        <w:t>s</w:t>
      </w:r>
      <w:proofErr w:type="spellEnd"/>
      <w:r w:rsidRPr="00573854">
        <w:t xml:space="preserve"> </w:t>
      </w:r>
      <w:r>
        <w:t>ayant fait l’expérience séparée du terrain dans le cadre de leur recherche en esthétique et en philosophie politique, offre quelques réponses.</w:t>
      </w:r>
    </w:p>
    <w:p w:rsidR="00ED35E1" w:rsidRPr="00542B7E" w:rsidRDefault="00ED35E1" w:rsidP="00ED35E1">
      <w:pPr>
        <w:pStyle w:val="VDIIntertitre"/>
      </w:pPr>
      <w:r w:rsidRPr="00542B7E">
        <w:t>Quatre terrains politiques</w:t>
      </w:r>
    </w:p>
    <w:p w:rsidR="00ED35E1" w:rsidRDefault="00ED35E1" w:rsidP="00ED35E1">
      <w:pPr>
        <w:pStyle w:val="Corps"/>
      </w:pPr>
      <w:r>
        <w:t xml:space="preserve">Présentées comme ayant des objets et méthodes différents, les quatre contributions qui forment l’ouvrage portent toutefois toutes sur des objets politiques (l’hospitalité, la justice pénale internationale, le </w:t>
      </w:r>
      <w:r w:rsidRPr="002F1F62">
        <w:t>champ pénitentiaire</w:t>
      </w:r>
      <w:r>
        <w:t xml:space="preserve">, la solidarité), souvent décrits avec beaucoup de finesse, et s’appuient principalement sur des entretiens ou de l’observation. </w:t>
      </w:r>
    </w:p>
    <w:p w:rsidR="00ED35E1" w:rsidRDefault="00ED35E1" w:rsidP="00ED35E1">
      <w:pPr>
        <w:pStyle w:val="Corps"/>
      </w:pPr>
      <w:r w:rsidRPr="0086531E">
        <w:rPr>
          <w:bCs/>
        </w:rPr>
        <w:t xml:space="preserve">Sophie </w:t>
      </w:r>
      <w:proofErr w:type="spellStart"/>
      <w:r w:rsidRPr="0086531E">
        <w:rPr>
          <w:bCs/>
        </w:rPr>
        <w:t>Djigo</w:t>
      </w:r>
      <w:proofErr w:type="spellEnd"/>
      <w:r>
        <w:t xml:space="preserve"> propose de redéfinir ce que serait une politique de l’hospitalité</w:t>
      </w:r>
      <w:r w:rsidRPr="0044160C">
        <w:t xml:space="preserve"> </w:t>
      </w:r>
      <w:r>
        <w:t>en partant du cas de l’accueil des exilés. Contrairement au simple hébergement,</w:t>
      </w:r>
      <w:r w:rsidRPr="0044160C">
        <w:t xml:space="preserve"> l’accueil suppose une construction relationnelle et politique </w:t>
      </w:r>
      <w:r>
        <w:t>qui suscite</w:t>
      </w:r>
      <w:r w:rsidRPr="0044160C">
        <w:t xml:space="preserve"> le sentiment d’être accueilli par ceux qu’on accueille.</w:t>
      </w:r>
      <w:r>
        <w:t xml:space="preserve"> L’autrice parvient à cette conclusion en recueillant le point de vue des accueillis et des accueillantes (en grande majorité des femmes), mais aussi en faisant elle-même l’expérience de l’accueil ; pendant deux ans, elle accueille un jeune migrant au sein de son foyer. Cette méthode manque aux approches juridiques, éthiques et politiques de l’hospitalité. </w:t>
      </w:r>
      <w:r w:rsidRPr="00116BCE">
        <w:t>À</w:t>
      </w:r>
      <w:r>
        <w:t xml:space="preserve"> l’instar des théories féministes qui </w:t>
      </w:r>
      <w:r w:rsidR="00CA4133">
        <w:t>mettent en question</w:t>
      </w:r>
      <w:bookmarkStart w:id="0" w:name="_GoBack"/>
      <w:bookmarkEnd w:id="0"/>
      <w:r>
        <w:t xml:space="preserve"> depuis les années 1980 la pertinence de la distinction entre sphère publique et sphère privée, et relayant les intuitions morales des personnes qui accueillent les exilés, Sophie </w:t>
      </w:r>
      <w:proofErr w:type="spellStart"/>
      <w:r>
        <w:t>Djigo</w:t>
      </w:r>
      <w:proofErr w:type="spellEnd"/>
      <w:r>
        <w:t xml:space="preserve"> plaide ici en faveur d’une « transformation radicale du lieu de vie domestique en lieu politique » (p</w:t>
      </w:r>
      <w:r w:rsidR="00DD3CF2">
        <w:t>.</w:t>
      </w:r>
      <w:r>
        <w:t xml:space="preserve"> 51). C’est finalement le concept même de famille qui s’en trouve aussi transformé : puisque dans les pratiques d’accueil, l’exilé devient souvent un membre de la famille, celle-ci devient le « lieu de production d’une société cosmopolite ». </w:t>
      </w:r>
      <w:proofErr w:type="spellStart"/>
      <w:r>
        <w:t>Djigo</w:t>
      </w:r>
      <w:proofErr w:type="spellEnd"/>
      <w:r>
        <w:t xml:space="preserve"> se fait alors le relai</w:t>
      </w:r>
      <w:r w:rsidR="00DD3CF2">
        <w:t>s</w:t>
      </w:r>
      <w:r>
        <w:t xml:space="preserve"> d’une revendication portée par ses enquêtées, celle d’une « conception épaisse de la citoyenneté qui n’implique pas seulement le droit de vote ou de manifester, mais aussi le devoir d’accueillir » (p. 32)</w:t>
      </w:r>
      <w:r w:rsidRPr="00557597">
        <w:t xml:space="preserve">. </w:t>
      </w:r>
      <w:r>
        <w:t>Le deuxième grand résultat de l’enquête est de rendre compte des questions éthiques concrètes auxquels sont confrontées les accueillantes dans la relation d’accueil, dérivées de la question générale « comment créer de la symétrie [dans la relation] ? » (</w:t>
      </w:r>
      <w:proofErr w:type="gramStart"/>
      <w:r>
        <w:t>p.</w:t>
      </w:r>
      <w:proofErr w:type="gramEnd"/>
      <w:r>
        <w:t xml:space="preserve"> 49). </w:t>
      </w:r>
    </w:p>
    <w:p w:rsidR="00ED35E1" w:rsidRDefault="00ED35E1" w:rsidP="00DD3CF2">
      <w:pPr>
        <w:pStyle w:val="Corps"/>
      </w:pPr>
      <w:r w:rsidRPr="00DD3CF2">
        <w:rPr>
          <w:rFonts w:eastAsiaTheme="minorHAnsi" w:cstheme="minorHAnsi"/>
          <w:bCs/>
          <w:sz w:val="22"/>
          <w:szCs w:val="22"/>
          <w:lang w:eastAsia="en-US"/>
        </w:rPr>
        <w:t xml:space="preserve">De son </w:t>
      </w:r>
      <w:r w:rsidRPr="00DD3CF2">
        <w:rPr>
          <w:rFonts w:eastAsiaTheme="minorHAnsi" w:cstheme="minorHAnsi"/>
          <w:bCs/>
          <w:color w:val="000000" w:themeColor="text1"/>
          <w:sz w:val="22"/>
          <w:szCs w:val="22"/>
        </w:rPr>
        <w:t>c</w:t>
      </w:r>
      <w:r w:rsidRPr="00DD3CF2">
        <w:rPr>
          <w:rFonts w:eastAsiaTheme="minorHAnsi" w:cstheme="minorHAnsi"/>
          <w:bCs/>
          <w:color w:val="000000" w:themeColor="text1"/>
          <w:sz w:val="22"/>
          <w:szCs w:val="22"/>
          <w:lang w:eastAsia="en-US"/>
        </w:rPr>
        <w:t xml:space="preserve">ôté, </w:t>
      </w:r>
      <w:r w:rsidRPr="00DD3CF2">
        <w:rPr>
          <w:rFonts w:eastAsiaTheme="minorHAnsi" w:cstheme="minorHAnsi"/>
          <w:bCs/>
          <w:sz w:val="22"/>
          <w:szCs w:val="22"/>
          <w:lang w:eastAsia="en-US"/>
        </w:rPr>
        <w:t xml:space="preserve">Isabelle </w:t>
      </w:r>
      <w:proofErr w:type="spellStart"/>
      <w:r w:rsidRPr="00DD3CF2">
        <w:rPr>
          <w:rFonts w:eastAsiaTheme="minorHAnsi" w:cstheme="minorHAnsi"/>
          <w:bCs/>
          <w:sz w:val="22"/>
          <w:szCs w:val="22"/>
          <w:lang w:eastAsia="en-US"/>
        </w:rPr>
        <w:t>Delpla</w:t>
      </w:r>
      <w:proofErr w:type="spellEnd"/>
      <w:r>
        <w:t xml:space="preserve"> donne à voir les étapes de son expérience de terrain menée dans le contexte d’après-guerre en Bosnie-Herzégovine</w:t>
      </w:r>
      <w:r w:rsidDel="00462C91">
        <w:t xml:space="preserve"> </w:t>
      </w:r>
      <w:r>
        <w:t>en 2002, puis principalement de 2005 à 2007</w:t>
      </w:r>
      <w:r w:rsidRPr="00A858A5">
        <w:t>.</w:t>
      </w:r>
      <w:r>
        <w:t xml:space="preserve"> Plus que dans les autres chapitres, on trouve dans le </w:t>
      </w:r>
      <w:r>
        <w:lastRenderedPageBreak/>
        <w:t xml:space="preserve">texte de </w:t>
      </w:r>
      <w:proofErr w:type="spellStart"/>
      <w:r>
        <w:t>Delpla</w:t>
      </w:r>
      <w:proofErr w:type="spellEnd"/>
      <w:r>
        <w:t xml:space="preserve"> une réflexion théorique fouillée sur l’articulation de la philosophie de terrain aux sciences sociales. Une première enquête, menée principalement à Sarajevo, sur la manière dont les Bosniens reçoivent l’aide humanitaire internationale est finalement laissée de côté pour une seconde, sur les effets du </w:t>
      </w:r>
      <w:r w:rsidRPr="00DF583E">
        <w:t>Tribunal pénal international pou</w:t>
      </w:r>
      <w:r>
        <w:t xml:space="preserve">r l’ex-Yougoslavie (le TPIY, </w:t>
      </w:r>
      <w:r w:rsidRPr="00DF583E">
        <w:t>créé</w:t>
      </w:r>
      <w:r>
        <w:t xml:space="preserve"> par l’ONU </w:t>
      </w:r>
      <w:r w:rsidRPr="00DF583E">
        <w:t xml:space="preserve">pour </w:t>
      </w:r>
      <w:r w:rsidRPr="00A858A5">
        <w:t xml:space="preserve">juger les </w:t>
      </w:r>
      <w:r>
        <w:t>responsables</w:t>
      </w:r>
      <w:r w:rsidRPr="00A858A5">
        <w:t xml:space="preserve"> de</w:t>
      </w:r>
      <w:r>
        <w:t>s</w:t>
      </w:r>
      <w:r w:rsidRPr="00A858A5">
        <w:t xml:space="preserve"> crimes de guerre </w:t>
      </w:r>
      <w:r>
        <w:t>sur ce territoire) sur l'existence des B</w:t>
      </w:r>
      <w:r w:rsidRPr="00DE318F">
        <w:t>osniens</w:t>
      </w:r>
      <w:r>
        <w:t xml:space="preserve">. Un des apports du passionnant travail de </w:t>
      </w:r>
      <w:proofErr w:type="spellStart"/>
      <w:r>
        <w:t>Delpla</w:t>
      </w:r>
      <w:proofErr w:type="spellEnd"/>
      <w:r>
        <w:t xml:space="preserve"> est de venir compléter les études des sciences sociales en montrant quelles normes morales et juridiques mobilisent les personnes enquêtées. S’appuyant sur la théorie des actes de langage de Quine et de l’anthropologue</w:t>
      </w:r>
      <w:r w:rsidRPr="00A858A5">
        <w:t xml:space="preserve"> </w:t>
      </w:r>
      <w:r>
        <w:t xml:space="preserve">Jeanne </w:t>
      </w:r>
      <w:proofErr w:type="spellStart"/>
      <w:r>
        <w:t>Favret</w:t>
      </w:r>
      <w:proofErr w:type="spellEnd"/>
      <w:r>
        <w:t xml:space="preserve">-Saada, elle met </w:t>
      </w:r>
      <w:r w:rsidRPr="00DC09A4">
        <w:t xml:space="preserve">notamment en évidence une appropriation </w:t>
      </w:r>
      <w:r>
        <w:t>dans</w:t>
      </w:r>
      <w:r w:rsidRPr="00DC09A4">
        <w:t xml:space="preserve"> les usages ordinaires du concept de </w:t>
      </w:r>
      <w:r>
        <w:t>« </w:t>
      </w:r>
      <w:r w:rsidRPr="00DC09A4">
        <w:t>disparu</w:t>
      </w:r>
      <w:r>
        <w:t> »</w:t>
      </w:r>
      <w:r w:rsidRPr="00DC09A4">
        <w:t xml:space="preserve">, issu du droit international. </w:t>
      </w:r>
      <w:r>
        <w:t>Elle explique que la relation des Bosniens au droit international ne peut ainsi ni être réduite à une instrumentalisation, comme le soutiennent certains anthropologues</w:t>
      </w:r>
      <w:r w:rsidRPr="00451B66">
        <w:t xml:space="preserve">, ni </w:t>
      </w:r>
      <w:r>
        <w:t xml:space="preserve">être rapportée </w:t>
      </w:r>
      <w:r w:rsidRPr="00451B66">
        <w:t>à</w:t>
      </w:r>
      <w:r>
        <w:t xml:space="preserve"> un processus de démocratisation libérale, comme le suggèrent les organisations internationales. La justice pénale internationale n’est pas une pure importation, et il peut par ailleurs aussi exister des usages nationalistes des droits individuels.</w:t>
      </w:r>
    </w:p>
    <w:p w:rsidR="00ED35E1" w:rsidRDefault="00ED35E1" w:rsidP="00ED35E1">
      <w:pPr>
        <w:pStyle w:val="Corps"/>
      </w:pPr>
      <w:r w:rsidRPr="0086531E">
        <w:rPr>
          <w:bCs/>
        </w:rPr>
        <w:t xml:space="preserve">Le chapitre rédigé par Olivier </w:t>
      </w:r>
      <w:proofErr w:type="spellStart"/>
      <w:r w:rsidRPr="0086531E">
        <w:rPr>
          <w:bCs/>
        </w:rPr>
        <w:t>Razac</w:t>
      </w:r>
      <w:proofErr w:type="spellEnd"/>
      <w:r>
        <w:t xml:space="preserve"> prend pour objet </w:t>
      </w:r>
      <w:r w:rsidRPr="00803103">
        <w:t>les rationalités qui structurent et orientent la manière de travailler des</w:t>
      </w:r>
      <w:r>
        <w:t xml:space="preserve"> </w:t>
      </w:r>
      <w:r w:rsidRPr="001A18DB">
        <w:t>conseillers pénitentiai</w:t>
      </w:r>
      <w:r>
        <w:t>res d’insertion et de probation.</w:t>
      </w:r>
      <w:r w:rsidRPr="001A18DB">
        <w:t xml:space="preserve"> </w:t>
      </w:r>
      <w:r w:rsidRPr="001C6083">
        <w:t xml:space="preserve">L’auteur dit suivre deux méthodes de déconstruction proposées par Foucault : d’abord, un travail généalogique, qui repère l’apparition et le développement de six rationalités dans un corpus de textes structurants pour </w:t>
      </w:r>
      <w:r>
        <w:t>cette profession</w:t>
      </w:r>
      <w:r w:rsidRPr="001C6083">
        <w:t xml:space="preserve"> (textes législatifs, </w:t>
      </w:r>
      <w:r>
        <w:t xml:space="preserve">documents </w:t>
      </w:r>
      <w:r w:rsidRPr="001C6083">
        <w:t>de formation, syndicaux ou de recherche) ; puis</w:t>
      </w:r>
      <w:r>
        <w:t>,</w:t>
      </w:r>
      <w:r w:rsidRPr="001C6083">
        <w:t xml:space="preserve"> un travail archéologi</w:t>
      </w:r>
      <w:r>
        <w:t>qu</w:t>
      </w:r>
      <w:r w:rsidRPr="001C6083">
        <w:t>e</w:t>
      </w:r>
      <w:r>
        <w:t>,</w:t>
      </w:r>
      <w:r w:rsidRPr="001C6083">
        <w:t xml:space="preserve"> à partir du corpus formé par la retranscription de </w:t>
      </w:r>
      <w:r>
        <w:t>trente-neuf</w:t>
      </w:r>
      <w:r w:rsidRPr="001C6083">
        <w:t xml:space="preserve"> entretiens menés</w:t>
      </w:r>
      <w:r>
        <w:t xml:space="preserve"> en France </w:t>
      </w:r>
      <w:r w:rsidRPr="001C6083">
        <w:t>entre 2011 et 2013</w:t>
      </w:r>
      <w:r>
        <w:t xml:space="preserve"> </w:t>
      </w:r>
      <w:r w:rsidRPr="001C6083">
        <w:t xml:space="preserve">auprès </w:t>
      </w:r>
      <w:r>
        <w:t xml:space="preserve">de </w:t>
      </w:r>
      <w:r w:rsidRPr="001A18DB">
        <w:t>conseiller</w:t>
      </w:r>
      <w:r>
        <w:t>s</w:t>
      </w:r>
      <w:r w:rsidRPr="001C6083">
        <w:t>. Ce</w:t>
      </w:r>
      <w:r>
        <w:t>tte méthode</w:t>
      </w:r>
      <w:r w:rsidRPr="001C6083">
        <w:t xml:space="preserve"> lui permet de mettre en évidence les logiques d’actions contradictoires auxquelles </w:t>
      </w:r>
      <w:r>
        <w:t>l’administration pénitentiaire</w:t>
      </w:r>
      <w:r w:rsidRPr="001C6083">
        <w:t xml:space="preserve"> soumet les agents et qui expliquent leurs difficultés. </w:t>
      </w:r>
      <w:r>
        <w:t xml:space="preserve">Par exemple, la logique d’action « pénale » implique de considérer les personnes condamnées comme responsables de leurs actes et comme devant en répondre, et invite les agents à une posture d’impartialité et de mise à distance. La logique d’action « éducative », à l’inverse, suppose de considérer les condamnés comme peu responsables et appelle à faire preuve d’empathie afin de les accompagner vers l’autonomie (p. 168). </w:t>
      </w:r>
      <w:r w:rsidRPr="001C6083">
        <w:t>L’originalité méthodologique de l’enquête tient aussi au fait, rare, d’avoir réalisé une restitution de ses recherches aux acteurs</w:t>
      </w:r>
      <w:r>
        <w:t>.</w:t>
      </w:r>
    </w:p>
    <w:p w:rsidR="00ED35E1" w:rsidRDefault="00ED35E1" w:rsidP="00ED35E1">
      <w:pPr>
        <w:pStyle w:val="Corps"/>
      </w:pPr>
      <w:r>
        <w:t xml:space="preserve">Enfin, la dernière enquête porte sur </w:t>
      </w:r>
      <w:r w:rsidRPr="00B117A1">
        <w:t>les</w:t>
      </w:r>
      <w:r>
        <w:t xml:space="preserve"> </w:t>
      </w:r>
      <w:r w:rsidRPr="00B117A1">
        <w:t>revendications</w:t>
      </w:r>
      <w:r>
        <w:t xml:space="preserve"> </w:t>
      </w:r>
      <w:r w:rsidRPr="00B117A1">
        <w:t xml:space="preserve">et </w:t>
      </w:r>
      <w:r>
        <w:t>les</w:t>
      </w:r>
      <w:r w:rsidRPr="00B117A1">
        <w:t xml:space="preserve"> </w:t>
      </w:r>
      <w:r>
        <w:t xml:space="preserve">pratiques de résistance </w:t>
      </w:r>
      <w:r w:rsidRPr="00B117A1">
        <w:t xml:space="preserve">en Grèce </w:t>
      </w:r>
      <w:r>
        <w:t xml:space="preserve">face aux problèmes politiques liés aux « globalisations » </w:t>
      </w:r>
      <w:r w:rsidRPr="00B117A1">
        <w:t>(p. 195)</w:t>
      </w:r>
      <w:r w:rsidRPr="00BB2AC4">
        <w:t>.</w:t>
      </w:r>
      <w:r>
        <w:t xml:space="preserve"> </w:t>
      </w:r>
      <w:r w:rsidRPr="0086531E">
        <w:rPr>
          <w:bCs/>
        </w:rPr>
        <w:lastRenderedPageBreak/>
        <w:t>Christiane</w:t>
      </w:r>
      <w:r w:rsidRPr="001830DA">
        <w:rPr>
          <w:bCs/>
        </w:rPr>
        <w:t xml:space="preserve"> </w:t>
      </w:r>
      <w:proofErr w:type="spellStart"/>
      <w:r w:rsidRPr="0086531E">
        <w:rPr>
          <w:bCs/>
        </w:rPr>
        <w:t>Vollaire</w:t>
      </w:r>
      <w:proofErr w:type="spellEnd"/>
      <w:r w:rsidRPr="001830DA">
        <w:rPr>
          <w:bCs/>
        </w:rPr>
        <w:t xml:space="preserve"> </w:t>
      </w:r>
      <w:r>
        <w:t xml:space="preserve">a réalisé </w:t>
      </w:r>
      <w:r w:rsidRPr="00DE1403">
        <w:t>123 entretien</w:t>
      </w:r>
      <w:r>
        <w:t xml:space="preserve">s entre </w:t>
      </w:r>
      <w:r w:rsidRPr="00B117A1">
        <w:t>2017</w:t>
      </w:r>
      <w:r>
        <w:t xml:space="preserve"> et 2020, principalement auprès de membres de dispensaires alternatifs ou d’associations (de soutien aux migrants entre autres) à Thessalonique et Athènes, de membres du mouvement contre l’ouverture d’une mine d’or à </w:t>
      </w:r>
      <w:proofErr w:type="spellStart"/>
      <w:r>
        <w:t>Skouriès</w:t>
      </w:r>
      <w:proofErr w:type="spellEnd"/>
      <w:r>
        <w:t xml:space="preserve">, de participants à l’autogestion de l’usine </w:t>
      </w:r>
      <w:proofErr w:type="spellStart"/>
      <w:r>
        <w:t>Viome</w:t>
      </w:r>
      <w:proofErr w:type="spellEnd"/>
      <w:r>
        <w:t xml:space="preserve">, enfin d’anciens résistants au pouvoir fasciste. Le concept de solidarité mobilisé par les enquêtés, qui sert de fil directeur à l’enquête, n’est pas pensé par les acteurs comme « un simple concept de la bienveillance ou de la charité », mais comme un concept polémique, renvoyant à un « engagement oppositionnel » (p. 209). La philosophie de terrain, déployée ici en binôme avec la photographie, participe à une esthétique des résistances collectives qui, dans le sillon de Brecht, prend la forme de l’épopée. L’épopée provoque l’admiration, génère de l’enthousiasme et tient à bonne distance la « mélancolie de gauche ». </w:t>
      </w:r>
    </w:p>
    <w:p w:rsidR="00ED35E1" w:rsidRPr="00803103" w:rsidRDefault="00ED35E1" w:rsidP="00ED35E1">
      <w:pPr>
        <w:pStyle w:val="VDIIntertitre"/>
      </w:pPr>
      <w:r>
        <w:t>Les acteurs</w:t>
      </w:r>
      <w:r w:rsidRPr="00803103">
        <w:t xml:space="preserve"> comme objets philosophique</w:t>
      </w:r>
      <w:r>
        <w:t>s</w:t>
      </w:r>
    </w:p>
    <w:p w:rsidR="00ED35E1" w:rsidRDefault="00ED35E1" w:rsidP="00ED35E1">
      <w:pPr>
        <w:pStyle w:val="Corps"/>
      </w:pPr>
      <w:r>
        <w:t>La thèse méthodologique qui est défendue avec force par chacun des auteurs est que le questionnement philosophique doit se faire en partant des perplexités, des revendications ou des raisonnements des acteurs impliqués dans les phénomènes étudiés. C’est ainsi dans le sillon de travaux sur la question de l’</w:t>
      </w:r>
      <w:proofErr w:type="spellStart"/>
      <w:r>
        <w:t>invisibilisation</w:t>
      </w:r>
      <w:proofErr w:type="spellEnd"/>
      <w:r>
        <w:t xml:space="preserve"> de la parole des subalternes</w:t>
      </w:r>
      <w:r w:rsidRPr="000757CF">
        <w:rPr>
          <w:rStyle w:val="Appelnotedebasdep"/>
        </w:rPr>
        <w:footnoteReference w:id="3"/>
      </w:r>
      <w:r>
        <w:t xml:space="preserve"> que </w:t>
      </w:r>
      <w:r w:rsidRPr="006445BE">
        <w:t xml:space="preserve">Christiane </w:t>
      </w:r>
      <w:proofErr w:type="spellStart"/>
      <w:r w:rsidRPr="006445BE">
        <w:t>Vollaire</w:t>
      </w:r>
      <w:proofErr w:type="spellEnd"/>
      <w:r w:rsidRPr="006445BE">
        <w:t xml:space="preserve"> </w:t>
      </w:r>
      <w:r>
        <w:t xml:space="preserve">s’intéresse aux discours des sujets engagés dans les organisations de solidarité en </w:t>
      </w:r>
      <w:r w:rsidRPr="00E77BA6">
        <w:t>Grèce</w:t>
      </w:r>
      <w:r>
        <w:t xml:space="preserve"> (p. 195), tandis qu’Isabelle </w:t>
      </w:r>
      <w:proofErr w:type="spellStart"/>
      <w:r>
        <w:t>Delpla</w:t>
      </w:r>
      <w:proofErr w:type="spellEnd"/>
      <w:r>
        <w:t xml:space="preserve"> entend mettre en évidence </w:t>
      </w:r>
      <w:r w:rsidRPr="00C21C37">
        <w:t>– reprena</w:t>
      </w:r>
      <w:r>
        <w:t xml:space="preserve">nt un terme de Michael </w:t>
      </w:r>
      <w:proofErr w:type="spellStart"/>
      <w:r>
        <w:t>Walzer</w:t>
      </w:r>
      <w:proofErr w:type="spellEnd"/>
      <w:r>
        <w:t xml:space="preserve"> </w:t>
      </w:r>
      <w:r w:rsidRPr="00C21C37">
        <w:t>–</w:t>
      </w:r>
      <w:r>
        <w:t xml:space="preserve"> </w:t>
      </w:r>
      <w:r w:rsidRPr="00C21C37">
        <w:t>« la réalité morale du terrain », c’est-à-dire l’ensemble des convictions morales des individus</w:t>
      </w:r>
      <w:r>
        <w:t xml:space="preserve">. </w:t>
      </w:r>
      <w:r w:rsidRPr="00C21C37">
        <w:t>Cette approche s’oppose</w:t>
      </w:r>
      <w:r>
        <w:t>,</w:t>
      </w:r>
      <w:r w:rsidRPr="00C21C37">
        <w:t xml:space="preserve"> </w:t>
      </w:r>
      <w:r>
        <w:t xml:space="preserve">explique </w:t>
      </w:r>
      <w:proofErr w:type="spellStart"/>
      <w:r>
        <w:t>Delpla</w:t>
      </w:r>
      <w:proofErr w:type="spellEnd"/>
      <w:r>
        <w:t>,</w:t>
      </w:r>
      <w:r w:rsidRPr="00C21C37">
        <w:t xml:space="preserve"> aux théories</w:t>
      </w:r>
      <w:r>
        <w:t xml:space="preserve"> réalistes, qui ont tendance à </w:t>
      </w:r>
      <w:r w:rsidRPr="00C21C37">
        <w:t>analyser les choses</w:t>
      </w:r>
      <w:r>
        <w:t xml:space="preserve"> seulement en termes de positionnement stratégique et de rapport de force, sans s’intéresser aux justifications. </w:t>
      </w:r>
      <w:r w:rsidRPr="001C6083">
        <w:t>Similairement</w:t>
      </w:r>
      <w:r>
        <w:t xml:space="preserve">, Olivier </w:t>
      </w:r>
      <w:proofErr w:type="spellStart"/>
      <w:r>
        <w:t>Razac</w:t>
      </w:r>
      <w:proofErr w:type="spellEnd"/>
      <w:r>
        <w:t xml:space="preserve"> s’oppose aux approches </w:t>
      </w:r>
      <w:proofErr w:type="spellStart"/>
      <w:r>
        <w:t>bourdieusiennes</w:t>
      </w:r>
      <w:proofErr w:type="spellEnd"/>
      <w:r>
        <w:t xml:space="preserve"> qui disqualifient les raisons des acteurs en leur attribuant des points de vue généraux en fonction de leur position. </w:t>
      </w:r>
    </w:p>
    <w:p w:rsidR="00ED35E1" w:rsidRDefault="00ED35E1" w:rsidP="00ED35E1">
      <w:pPr>
        <w:pStyle w:val="Corps"/>
      </w:pPr>
      <w:r>
        <w:t xml:space="preserve">Cela signifie-t-il que les chercheurs suspendent leur jugement philosophique sur le caractère problématique (d’un point de vue éthique ou logique) ou non des raisonnements tenus par les acteurs qu’ils observent et interrogent ? </w:t>
      </w:r>
      <w:r w:rsidRPr="00AE66F3">
        <w:t xml:space="preserve">Isabelle </w:t>
      </w:r>
      <w:proofErr w:type="spellStart"/>
      <w:r w:rsidRPr="00AE66F3">
        <w:t>Delpla</w:t>
      </w:r>
      <w:proofErr w:type="spellEnd"/>
      <w:r>
        <w:t xml:space="preserve"> estime que c’est bien souvent « </w:t>
      </w:r>
      <w:r w:rsidRPr="00AE66F3">
        <w:t xml:space="preserve">le refus ou la revendication d'une approche normative </w:t>
      </w:r>
      <w:r w:rsidRPr="00AE66F3">
        <w:lastRenderedPageBreak/>
        <w:t xml:space="preserve">qui distingue </w:t>
      </w:r>
      <w:r w:rsidRPr="001C6083">
        <w:t>le plus clairement les sciences sociales et la philosophie de terrain » (p.</w:t>
      </w:r>
      <w:r w:rsidR="00DD3CF2">
        <w:t> </w:t>
      </w:r>
      <w:r w:rsidRPr="001C6083">
        <w:t xml:space="preserve">78). Cette position n’est peut-être pas partagée par Olivier </w:t>
      </w:r>
      <w:proofErr w:type="spellStart"/>
      <w:r w:rsidRPr="001C6083">
        <w:t>Razac</w:t>
      </w:r>
      <w:proofErr w:type="spellEnd"/>
      <w:r w:rsidRPr="001C6083">
        <w:t>, pour qui l’analyse qu’il a effectuée ne revêt pa</w:t>
      </w:r>
      <w:r>
        <w:t>s de dimension normative : il n’</w:t>
      </w:r>
      <w:r w:rsidRPr="001C6083">
        <w:t xml:space="preserve">est pas question de dire </w:t>
      </w:r>
      <w:r>
        <w:t>laquelle des six</w:t>
      </w:r>
      <w:r w:rsidRPr="001C6083">
        <w:t xml:space="preserve"> rationalités de la probation</w:t>
      </w:r>
      <w:r>
        <w:t xml:space="preserve"> dégagées</w:t>
      </w:r>
      <w:r w:rsidRPr="001C6083">
        <w:t xml:space="preserve"> e</w:t>
      </w:r>
      <w:r>
        <w:t>st la bonne ou d’</w:t>
      </w:r>
      <w:r w:rsidRPr="001C6083">
        <w:t xml:space="preserve">en proposer une nouvelle (p. 181), mais simplement </w:t>
      </w:r>
      <w:r>
        <w:t xml:space="preserve">de </w:t>
      </w:r>
      <w:r w:rsidRPr="001C6083">
        <w:t xml:space="preserve">montrer le caractère </w:t>
      </w:r>
      <w:r w:rsidRPr="00DD3CF2">
        <w:rPr>
          <w:sz w:val="22"/>
          <w:szCs w:val="22"/>
        </w:rPr>
        <w:t xml:space="preserve">contradictoire de certaines </w:t>
      </w:r>
      <w:r w:rsidRPr="001C6083">
        <w:t>pratiques.</w:t>
      </w:r>
    </w:p>
    <w:p w:rsidR="00ED35E1" w:rsidRPr="00AD231D" w:rsidRDefault="00ED35E1" w:rsidP="00ED35E1">
      <w:pPr>
        <w:pStyle w:val="VDIIntertitre"/>
      </w:pPr>
      <w:r w:rsidRPr="00AD231D">
        <w:t>La place des données des sciences sociales</w:t>
      </w:r>
    </w:p>
    <w:p w:rsidR="00ED35E1" w:rsidRPr="00AD231D" w:rsidRDefault="00ED35E1" w:rsidP="00ED35E1">
      <w:pPr>
        <w:pStyle w:val="Corps"/>
      </w:pPr>
      <w:r>
        <w:t>L</w:t>
      </w:r>
      <w:r w:rsidRPr="004C5885">
        <w:t xml:space="preserve">a </w:t>
      </w:r>
      <w:r>
        <w:t xml:space="preserve">très </w:t>
      </w:r>
      <w:r w:rsidRPr="004C5885">
        <w:t xml:space="preserve">riche description des terrains et </w:t>
      </w:r>
      <w:r>
        <w:t xml:space="preserve">leur dimension biographique font de cet ouvrage une lecture agréable, </w:t>
      </w:r>
      <w:r w:rsidRPr="004C5885">
        <w:t>stimulante</w:t>
      </w:r>
      <w:r>
        <w:t xml:space="preserve"> et souvent émouvante. La question principale que soulèvent ces récits d’expériences tient à leur positionnement </w:t>
      </w:r>
      <w:r w:rsidRPr="004C5885">
        <w:t xml:space="preserve">vis-à-vis des méthodes et données fournies par les sciences sociales. </w:t>
      </w:r>
      <w:r w:rsidRPr="00DD3CF2">
        <w:t>C’est que l</w:t>
      </w:r>
      <w:r w:rsidRPr="00880471">
        <w:t>es</w:t>
      </w:r>
      <w:r>
        <w:t xml:space="preserve"> philosophes s’accordent</w:t>
      </w:r>
      <w:r w:rsidRPr="004C5885">
        <w:t xml:space="preserve"> </w:t>
      </w:r>
      <w:r w:rsidRPr="00BB2AC4">
        <w:t>sur le fait que les sciences sociales sont nécessaires à la philosophie de terrain</w:t>
      </w:r>
      <w:r>
        <w:t xml:space="preserve">, et que </w:t>
      </w:r>
      <w:r w:rsidRPr="00AD231D">
        <w:t>« </w:t>
      </w:r>
      <w:r>
        <w:t>l</w:t>
      </w:r>
      <w:r w:rsidRPr="00AD231D">
        <w:t>es données des sciences sociales sont indispensables et précieuses »</w:t>
      </w:r>
      <w:r>
        <w:t>,</w:t>
      </w:r>
      <w:r w:rsidRPr="00AD231D">
        <w:t xml:space="preserve"> </w:t>
      </w:r>
      <w:r>
        <w:t>comme le dit</w:t>
      </w:r>
      <w:r w:rsidRPr="00AD231D">
        <w:t xml:space="preserve"> Christiane </w:t>
      </w:r>
      <w:proofErr w:type="spellStart"/>
      <w:r w:rsidRPr="00AD231D">
        <w:t>Vollaire</w:t>
      </w:r>
      <w:proofErr w:type="spellEnd"/>
      <w:r w:rsidRPr="00AD231D">
        <w:t xml:space="preserve"> (p. 198). </w:t>
      </w:r>
      <w:r>
        <w:t>Mais comment faire en sorte que ce « dialogue », cette</w:t>
      </w:r>
      <w:r w:rsidRPr="00AD231D">
        <w:t xml:space="preserve"> « collaboration » (p</w:t>
      </w:r>
      <w:r>
        <w:t xml:space="preserve">. </w:t>
      </w:r>
      <w:r w:rsidRPr="00AD231D">
        <w:t>8)</w:t>
      </w:r>
      <w:r w:rsidRPr="004B278F">
        <w:t xml:space="preserve"> </w:t>
      </w:r>
      <w:r w:rsidRPr="00AD231D">
        <w:t xml:space="preserve">avec les sciences sociales </w:t>
      </w:r>
      <w:r>
        <w:t>fonctionne ? O</w:t>
      </w:r>
      <w:r w:rsidRPr="00AD231D">
        <w:t xml:space="preserve">n aurait aimé que soit davantage expliquée la manière dont </w:t>
      </w:r>
      <w:r>
        <w:t>l</w:t>
      </w:r>
      <w:r w:rsidRPr="00AD231D">
        <w:t xml:space="preserve">es travaux </w:t>
      </w:r>
      <w:r>
        <w:t xml:space="preserve">présentés </w:t>
      </w:r>
      <w:r w:rsidRPr="00AD231D">
        <w:t>complètent les études existantes</w:t>
      </w:r>
      <w:r>
        <w:t xml:space="preserve"> sur les mêmes objets</w:t>
      </w:r>
      <w:r w:rsidRPr="00AD231D">
        <w:t xml:space="preserve">. </w:t>
      </w:r>
      <w:r>
        <w:t xml:space="preserve">Peut-être </w:t>
      </w:r>
      <w:proofErr w:type="spellStart"/>
      <w:r w:rsidRPr="001F2B66">
        <w:t>certain·e·s</w:t>
      </w:r>
      <w:proofErr w:type="spellEnd"/>
      <w:r w:rsidRPr="001F2B66">
        <w:t xml:space="preserve"> </w:t>
      </w:r>
      <w:proofErr w:type="spellStart"/>
      <w:r w:rsidRPr="001F2B66">
        <w:t>auteur·e·s</w:t>
      </w:r>
      <w:proofErr w:type="spellEnd"/>
      <w:r>
        <w:t xml:space="preserve"> </w:t>
      </w:r>
      <w:r w:rsidRPr="00AD231D">
        <w:t xml:space="preserve">clarifient peu leur rapport aux données des sciences sociales </w:t>
      </w:r>
      <w:r>
        <w:t xml:space="preserve">parce </w:t>
      </w:r>
      <w:r w:rsidRPr="001F2B66">
        <w:t>qu'</w:t>
      </w:r>
      <w:proofErr w:type="spellStart"/>
      <w:r w:rsidRPr="001F2B66">
        <w:t>il·elle·s</w:t>
      </w:r>
      <w:proofErr w:type="spellEnd"/>
      <w:r w:rsidRPr="001F2B66">
        <w:t xml:space="preserve"> </w:t>
      </w:r>
      <w:r>
        <w:t xml:space="preserve">pensent leurs </w:t>
      </w:r>
      <w:r w:rsidRPr="00AD231D">
        <w:t xml:space="preserve">enquêtes de terrain selon </w:t>
      </w:r>
      <w:r>
        <w:t>des</w:t>
      </w:r>
      <w:r w:rsidRPr="00AD231D">
        <w:t xml:space="preserve"> méthode</w:t>
      </w:r>
      <w:r>
        <w:t>s différentes de celles des sciences sociales ?</w:t>
      </w:r>
    </w:p>
    <w:p w:rsidR="00ED35E1" w:rsidRPr="00AD231D" w:rsidRDefault="00ED35E1" w:rsidP="00ED35E1">
      <w:pPr>
        <w:pStyle w:val="VDIIntertitre"/>
      </w:pPr>
      <w:r>
        <w:t>Quelle méthode ? </w:t>
      </w:r>
    </w:p>
    <w:p w:rsidR="00ED35E1" w:rsidRPr="00AD231D" w:rsidRDefault="00ED35E1" w:rsidP="00ED35E1">
      <w:pPr>
        <w:pStyle w:val="Corps"/>
      </w:pPr>
      <w:r>
        <w:t xml:space="preserve">Une des raisons par lesquelles </w:t>
      </w:r>
      <w:r w:rsidRPr="00AD231D">
        <w:t xml:space="preserve">Isabelle </w:t>
      </w:r>
      <w:proofErr w:type="spellStart"/>
      <w:r w:rsidRPr="00AD231D">
        <w:t>Delpla</w:t>
      </w:r>
      <w:proofErr w:type="spellEnd"/>
      <w:r w:rsidRPr="00AD231D">
        <w:t xml:space="preserve"> </w:t>
      </w:r>
      <w:r>
        <w:t>justifie son terrain en Bosnie est le fait que certaines enquêtes passées étaient d’une qualité douteuse</w:t>
      </w:r>
      <w:r w:rsidRPr="00AD231D">
        <w:t xml:space="preserve"> (p. 90),</w:t>
      </w:r>
      <w:r>
        <w:t xml:space="preserve"> que</w:t>
      </w:r>
      <w:r w:rsidRPr="00AD231D">
        <w:t xml:space="preserve"> les témoins de la défense n’avaient pas été étudiés, et </w:t>
      </w:r>
      <w:r>
        <w:t>que l’</w:t>
      </w:r>
      <w:r w:rsidRPr="00AD231D">
        <w:t>omniprésence des revendications morales était globalement négligée (p. 107).</w:t>
      </w:r>
      <w:r>
        <w:t xml:space="preserve"> Mais elle </w:t>
      </w:r>
      <w:r w:rsidRPr="00AD231D">
        <w:t xml:space="preserve">renonce à </w:t>
      </w:r>
      <w:r>
        <w:t>défendre la</w:t>
      </w:r>
      <w:r w:rsidRPr="00AD231D">
        <w:t xml:space="preserve"> spécificité méthodologique de la philosophie de terrain par rapport à celles des sciences sociales (p. 78). Elle assume en effet </w:t>
      </w:r>
      <w:r>
        <w:t>de recourir</w:t>
      </w:r>
      <w:r w:rsidRPr="00AD231D">
        <w:t xml:space="preserve"> aux méthodes de ces dernières </w:t>
      </w:r>
      <w:r>
        <w:t>(l’</w:t>
      </w:r>
      <w:r w:rsidRPr="00DC09A4">
        <w:t>observation</w:t>
      </w:r>
      <w:r>
        <w:t xml:space="preserve">, les </w:t>
      </w:r>
      <w:r w:rsidRPr="00DC09A4">
        <w:t>entretien</w:t>
      </w:r>
      <w:r>
        <w:t>s</w:t>
      </w:r>
      <w:r w:rsidRPr="00DC09A4">
        <w:t xml:space="preserve"> qualitatif</w:t>
      </w:r>
      <w:r>
        <w:t>s</w:t>
      </w:r>
      <w:r w:rsidRPr="00DC09A4">
        <w:t xml:space="preserve">, </w:t>
      </w:r>
      <w:r>
        <w:t xml:space="preserve">la comparaison entre plusieurs </w:t>
      </w:r>
      <w:r w:rsidRPr="00DC09A4">
        <w:t>terrain</w:t>
      </w:r>
      <w:r>
        <w:t>s</w:t>
      </w:r>
      <w:r w:rsidRPr="00DC09A4">
        <w:t xml:space="preserve"> </w:t>
      </w:r>
      <w:r>
        <w:t>(</w:t>
      </w:r>
      <w:r w:rsidRPr="00DC09A4">
        <w:t>p. 104</w:t>
      </w:r>
      <w:r>
        <w:t>)</w:t>
      </w:r>
      <w:r w:rsidRPr="00DC09A4">
        <w:t>). Elle ajout</w:t>
      </w:r>
      <w:r>
        <w:t xml:space="preserve">e </w:t>
      </w:r>
      <w:r w:rsidRPr="00DC09A4">
        <w:t xml:space="preserve">: « Il serait d'ailleurs étonnant que les philosophes novices </w:t>
      </w:r>
      <w:r w:rsidRPr="00DC09A4">
        <w:lastRenderedPageBreak/>
        <w:t>sur le terrain parviennent à des méthodes nouvelles ou différentes</w:t>
      </w:r>
      <w:r w:rsidRPr="00AD231D">
        <w:t>. Leur prétention à le faire risque de reposer sur la méconnaissance de la richesse des sciences sociales » (p. 104).</w:t>
      </w:r>
      <w:r>
        <w:t xml:space="preserve"> Par exemple, </w:t>
      </w:r>
      <w:proofErr w:type="spellStart"/>
      <w:r>
        <w:t>Delpla</w:t>
      </w:r>
      <w:proofErr w:type="spellEnd"/>
      <w:r>
        <w:t xml:space="preserve"> explique que dans le cas de la réception du TPIY, certaines enquêtes passées étaient d’une qualité douteuse</w:t>
      </w:r>
      <w:r w:rsidRPr="00AD231D">
        <w:t xml:space="preserve"> (p. 90),</w:t>
      </w:r>
      <w:r>
        <w:t xml:space="preserve"> que</w:t>
      </w:r>
      <w:r w:rsidRPr="00AD231D">
        <w:t xml:space="preserve"> les témoins de la défense n’avaient pas été étudiés, et </w:t>
      </w:r>
      <w:r>
        <w:t>que l’</w:t>
      </w:r>
      <w:r w:rsidRPr="00AD231D">
        <w:t>omniprésence des revendications morales était globalement négligée (p. 107).</w:t>
      </w:r>
      <w:r>
        <w:t xml:space="preserve"> De son côté, </w:t>
      </w:r>
      <w:r w:rsidRPr="0086531E">
        <w:t xml:space="preserve">Sophie </w:t>
      </w:r>
      <w:proofErr w:type="spellStart"/>
      <w:r w:rsidRPr="0086531E">
        <w:t>Djigo</w:t>
      </w:r>
      <w:proofErr w:type="spellEnd"/>
      <w:r w:rsidRPr="00AD231D">
        <w:t xml:space="preserve"> emprunte </w:t>
      </w:r>
      <w:r>
        <w:t xml:space="preserve">aussi </w:t>
      </w:r>
      <w:r w:rsidRPr="00AD231D">
        <w:t>ses méthodes à l’ethnographie, soulignant que l’immersion</w:t>
      </w:r>
      <w:r>
        <w:t xml:space="preserve"> et l’observation participante</w:t>
      </w:r>
      <w:r w:rsidRPr="00AD231D">
        <w:t xml:space="preserve"> </w:t>
      </w:r>
      <w:r>
        <w:t>lui ont permis</w:t>
      </w:r>
      <w:r w:rsidRPr="00AD231D">
        <w:t xml:space="preserve"> </w:t>
      </w:r>
      <w:r>
        <w:t xml:space="preserve">de </w:t>
      </w:r>
      <w:r w:rsidRPr="00AD231D">
        <w:t xml:space="preserve">mieux comprendre </w:t>
      </w:r>
      <w:r w:rsidRPr="00587FF4">
        <w:t xml:space="preserve">l’hospitalité </w:t>
      </w:r>
      <w:r>
        <w:t xml:space="preserve">par rapport aux seuls </w:t>
      </w:r>
      <w:r w:rsidRPr="00587FF4">
        <w:t>entretiens </w:t>
      </w:r>
      <w:r>
        <w:t>qu’elle a mené</w:t>
      </w:r>
      <w:r w:rsidR="00DD3CF2">
        <w:t>s</w:t>
      </w:r>
      <w:r>
        <w:t xml:space="preserve"> </w:t>
      </w:r>
      <w:r w:rsidRPr="00587FF4">
        <w:t>(p. 29</w:t>
      </w:r>
      <w:r>
        <w:t>). E</w:t>
      </w:r>
      <w:r w:rsidRPr="00587FF4">
        <w:t xml:space="preserve">lle affirme que c’est </w:t>
      </w:r>
      <w:r w:rsidRPr="00BB2AC4">
        <w:t>la dimension construite</w:t>
      </w:r>
      <w:r w:rsidRPr="00587FF4">
        <w:t xml:space="preserve"> </w:t>
      </w:r>
      <w:r>
        <w:t xml:space="preserve">du rapport au terrain </w:t>
      </w:r>
      <w:r w:rsidRPr="00587FF4">
        <w:t xml:space="preserve">(réflexivité via un journal de bord notamment, choix des personnes rencontrées) ainsi que </w:t>
      </w:r>
      <w:r w:rsidRPr="00BB2AC4">
        <w:t>l’analyse conceptuelle</w:t>
      </w:r>
      <w:r w:rsidRPr="00587FF4">
        <w:t xml:space="preserve"> qui</w:t>
      </w:r>
      <w:r w:rsidRPr="00AD231D">
        <w:t xml:space="preserve"> font que l’expérience du terrain n’est pas un témoignage ou un récit autobiographique (p. 39-40)</w:t>
      </w:r>
      <w:r>
        <w:t>, mais une véritable condition de la réflexion philosophique</w:t>
      </w:r>
      <w:r w:rsidRPr="00AD231D">
        <w:t xml:space="preserve">. </w:t>
      </w:r>
    </w:p>
    <w:p w:rsidR="00ED35E1" w:rsidRDefault="00ED35E1" w:rsidP="00DD3CF2">
      <w:pPr>
        <w:pStyle w:val="Corps"/>
      </w:pPr>
      <w:r>
        <w:t>L</w:t>
      </w:r>
      <w:r w:rsidRPr="00AD231D">
        <w:t xml:space="preserve">es nombreux entretiens réalisés par Olivier </w:t>
      </w:r>
      <w:proofErr w:type="spellStart"/>
      <w:r w:rsidRPr="00AD231D">
        <w:t>Razac</w:t>
      </w:r>
      <w:proofErr w:type="spellEnd"/>
      <w:r w:rsidRPr="00AD231D">
        <w:t xml:space="preserve"> et Christiane </w:t>
      </w:r>
      <w:proofErr w:type="spellStart"/>
      <w:r w:rsidRPr="00AD231D">
        <w:t>Vollaire</w:t>
      </w:r>
      <w:proofErr w:type="spellEnd"/>
      <w:r w:rsidRPr="00AD231D">
        <w:t xml:space="preserve"> (respectivement 39 et 135) ont pour point commun d’être traités par des méthodes qui </w:t>
      </w:r>
      <w:r>
        <w:t>ne prétendent pas à la scientificité</w:t>
      </w:r>
      <w:r w:rsidRPr="00AD231D">
        <w:t xml:space="preserve"> (p. 199)</w:t>
      </w:r>
      <w:r>
        <w:t xml:space="preserve">. L’entretien est abordé ici </w:t>
      </w:r>
      <w:r w:rsidRPr="00AD231D">
        <w:t>comme une discussion (p. 194), un « dialogue » entre « deux raisons » (p. 166)</w:t>
      </w:r>
      <w:r>
        <w:t>,</w:t>
      </w:r>
      <w:r w:rsidRPr="00AD231D">
        <w:t xml:space="preserve"> qui peut même se poursuivre symboliquement durant la phase d’analyse et d’écriture (p. 244-45). </w:t>
      </w:r>
      <w:r>
        <w:t>Olivier</w:t>
      </w:r>
      <w:r w:rsidRPr="00AD231D">
        <w:t xml:space="preserve"> </w:t>
      </w:r>
      <w:proofErr w:type="spellStart"/>
      <w:r w:rsidRPr="00AD231D">
        <w:t>Razac</w:t>
      </w:r>
      <w:proofErr w:type="spellEnd"/>
      <w:r w:rsidRPr="00AD231D">
        <w:t xml:space="preserve"> </w:t>
      </w:r>
      <w:r>
        <w:t xml:space="preserve">soutient </w:t>
      </w:r>
      <w:r w:rsidRPr="00AD231D">
        <w:t xml:space="preserve">une approche </w:t>
      </w:r>
      <w:r w:rsidRPr="00AD231D">
        <w:rPr>
          <w:i/>
        </w:rPr>
        <w:t>philosophique</w:t>
      </w:r>
      <w:r w:rsidRPr="00AD231D">
        <w:t xml:space="preserve"> (entendre : non sociologique)</w:t>
      </w:r>
      <w:r w:rsidRPr="00BB5AB7">
        <w:t xml:space="preserve"> </w:t>
      </w:r>
      <w:r w:rsidRPr="00AD231D">
        <w:t xml:space="preserve">de l’enquête, </w:t>
      </w:r>
      <w:r>
        <w:t xml:space="preserve">qui se distingue non seulement de l’approche </w:t>
      </w:r>
      <w:proofErr w:type="spellStart"/>
      <w:r>
        <w:t>bourdieusienne</w:t>
      </w:r>
      <w:proofErr w:type="spellEnd"/>
      <w:r w:rsidR="00DD3CF2">
        <w:t>,</w:t>
      </w:r>
      <w:r>
        <w:t xml:space="preserve"> mais aussi </w:t>
      </w:r>
      <w:r w:rsidRPr="00AD231D">
        <w:t xml:space="preserve">de la « sociologie pragmatique de la critique » déployée par Boltanski (p. 148-9). </w:t>
      </w:r>
      <w:r>
        <w:t xml:space="preserve">Selon </w:t>
      </w:r>
      <w:proofErr w:type="spellStart"/>
      <w:r>
        <w:t>Razac</w:t>
      </w:r>
      <w:proofErr w:type="spellEnd"/>
      <w:r>
        <w:t>, son</w:t>
      </w:r>
      <w:r w:rsidRPr="00AD231D">
        <w:t xml:space="preserve"> approche « ne s’adresse pas en premier lieu au monde de la recherche</w:t>
      </w:r>
      <w:r w:rsidR="00DD3CF2">
        <w:t>,</w:t>
      </w:r>
      <w:r w:rsidRPr="00AD231D">
        <w:t xml:space="preserve"> mais au terrain en question » (p. 159). Mais </w:t>
      </w:r>
      <w:r w:rsidRPr="00DC09A4">
        <w:t>en quoi l</w:t>
      </w:r>
      <w:r>
        <w:t>’utilisation des</w:t>
      </w:r>
      <w:r w:rsidRPr="00DC09A4">
        <w:t xml:space="preserve"> méthodes et </w:t>
      </w:r>
      <w:r>
        <w:t>des</w:t>
      </w:r>
      <w:r w:rsidRPr="00DC09A4">
        <w:t xml:space="preserve"> données des sciences sociales </w:t>
      </w:r>
      <w:r>
        <w:t xml:space="preserve">pourrait-elle constituer un obstacle à </w:t>
      </w:r>
      <w:r w:rsidRPr="00DC09A4">
        <w:t>un tel projet ? On peut d’ailleurs avoir le sentiment que l</w:t>
      </w:r>
      <w:proofErr w:type="gramStart"/>
      <w:r w:rsidRPr="00DC09A4">
        <w:t>’«</w:t>
      </w:r>
      <w:proofErr w:type="gramEnd"/>
      <w:r w:rsidRPr="00DC09A4">
        <w:t xml:space="preserve"> analyse textuelle thématique » inspirée de Foucault est en fait assez proche de l’analyse thématique de contenu, </w:t>
      </w:r>
      <w:r>
        <w:t xml:space="preserve">qui est une </w:t>
      </w:r>
      <w:r w:rsidRPr="00DC09A4">
        <w:t xml:space="preserve">méthode </w:t>
      </w:r>
      <w:r>
        <w:t xml:space="preserve">relativement </w:t>
      </w:r>
      <w:r w:rsidRPr="00DC09A4">
        <w:t>classique en analyse qualitative</w:t>
      </w:r>
      <w:r w:rsidRPr="000757CF">
        <w:rPr>
          <w:rStyle w:val="Appelnotedebasdep"/>
        </w:rPr>
        <w:footnoteReference w:id="4"/>
      </w:r>
      <w:r w:rsidRPr="00DC09A4">
        <w:t>.</w:t>
      </w:r>
    </w:p>
    <w:p w:rsidR="00ED35E1" w:rsidRDefault="00ED35E1" w:rsidP="00ED35E1">
      <w:pPr>
        <w:pStyle w:val="VDIIntertitre"/>
      </w:pPr>
      <w:r>
        <w:t>D</w:t>
      </w:r>
      <w:r w:rsidRPr="00B23A2D">
        <w:t>e nouvelles questions</w:t>
      </w:r>
      <w:r>
        <w:t xml:space="preserve"> émergent du terrain</w:t>
      </w:r>
    </w:p>
    <w:p w:rsidR="00ED35E1" w:rsidRDefault="00ED35E1" w:rsidP="00ED35E1">
      <w:pPr>
        <w:pStyle w:val="Corps"/>
      </w:pPr>
      <w:r>
        <w:t xml:space="preserve">Peut-être que l’apport des démarches relatives à la « philosophie de terrain » ne tient pas tant aux éléments qu’elle permet de collecter, qu’à l’effet que le terrain </w:t>
      </w:r>
      <w:r>
        <w:lastRenderedPageBreak/>
        <w:t xml:space="preserve">produit </w:t>
      </w:r>
      <w:r w:rsidRPr="00BB2AC4">
        <w:t xml:space="preserve">sur </w:t>
      </w:r>
      <w:r w:rsidRPr="00F9637D">
        <w:t>la personne qui mène la recherche.</w:t>
      </w:r>
      <w:r>
        <w:t xml:space="preserve"> Une thèse qui traverse tout l’ouvrage semble être que le terrain a en fait une fonction qu’on pourrait qualifier d’</w:t>
      </w:r>
      <w:r w:rsidRPr="00DC09A4">
        <w:t>heuristique</w:t>
      </w:r>
      <w:r w:rsidRPr="000757CF">
        <w:rPr>
          <w:rStyle w:val="Appelnotedebasdep"/>
        </w:rPr>
        <w:footnoteReference w:id="5"/>
      </w:r>
      <w:r>
        <w:t xml:space="preserve">, au sens où il aide à la découverte de nouvelles questions et pistes de recherche. « </w:t>
      </w:r>
      <w:r w:rsidRPr="00F9637D">
        <w:t>À</w:t>
      </w:r>
      <w:r w:rsidRPr="00A663DB">
        <w:t xml:space="preserve"> chaque étape de ce travail, le rapport au terrain </w:t>
      </w:r>
      <w:proofErr w:type="spellStart"/>
      <w:r w:rsidRPr="00A663DB">
        <w:t>a</w:t>
      </w:r>
      <w:proofErr w:type="spellEnd"/>
      <w:r w:rsidRPr="00A663DB">
        <w:t xml:space="preserve"> reconfiguré les questions initiales »</w:t>
      </w:r>
      <w:r w:rsidR="00DD3CF2">
        <w:t>,</w:t>
      </w:r>
      <w:r w:rsidRPr="00A663DB">
        <w:t xml:space="preserve"> </w:t>
      </w:r>
      <w:r>
        <w:t xml:space="preserve">affirme ainsi Christiane </w:t>
      </w:r>
      <w:proofErr w:type="spellStart"/>
      <w:r>
        <w:t>Vollaire</w:t>
      </w:r>
      <w:proofErr w:type="spellEnd"/>
      <w:r>
        <w:t xml:space="preserve"> </w:t>
      </w:r>
      <w:r w:rsidRPr="00A663DB">
        <w:t>(p. 195)</w:t>
      </w:r>
      <w:r>
        <w:t xml:space="preserve">. Le terrain amène nécessairement « une série de déplacements » dit encore Sophie </w:t>
      </w:r>
      <w:proofErr w:type="spellStart"/>
      <w:r>
        <w:t>Djigo</w:t>
      </w:r>
      <w:proofErr w:type="spellEnd"/>
      <w:r>
        <w:t>, parlant de « test du terrain » en ce qu’il permettrait de voir comment une question de recherche « réagit » quand on la lui soumet. Il est même possible que ce soit les enquêtés qui indiquent finalement à la philosophie les questions de recherche, ajoute-t-elle, pour peu qu’elle accepte de</w:t>
      </w:r>
      <w:r w:rsidRPr="007B0053">
        <w:t xml:space="preserve"> </w:t>
      </w:r>
      <w:r>
        <w:t>« </w:t>
      </w:r>
      <w:r w:rsidRPr="007B0053">
        <w:t>laisser les principaux concernés formuler eux</w:t>
      </w:r>
      <w:r>
        <w:t>-mêmes les questions, [de] partir de leurs perplexités » (p. 29).</w:t>
      </w:r>
    </w:p>
    <w:p w:rsidR="00D73055" w:rsidRDefault="00ED35E1" w:rsidP="00ED35E1">
      <w:pPr>
        <w:pStyle w:val="Corps"/>
      </w:pPr>
      <w:r>
        <w:t xml:space="preserve">Mais le terrain a aussi pour fonction – et cela nous semble être sa fonction la plus irremplaçable </w:t>
      </w:r>
      <w:r w:rsidR="00DD3CF2">
        <w:t>–</w:t>
      </w:r>
      <w:r>
        <w:t xml:space="preserve"> d’encourager durablement cet effort qu’est le travail de recherche : c’est parce qu’elle avait fait l’expérience de la Bosnie-Herzégovine lors de séjours d’enseignement qu’Isabelle </w:t>
      </w:r>
      <w:proofErr w:type="spellStart"/>
      <w:r>
        <w:t>Delpa</w:t>
      </w:r>
      <w:proofErr w:type="spellEnd"/>
      <w:r>
        <w:t xml:space="preserve"> a perçu l’urgence de travailler sur les crimes de guerre (p. 89). On trouve souvent dans cet ouvrage quelque chose de l’ordre d’une motivation, d’une émotion, d’une </w:t>
      </w:r>
      <w:r w:rsidRPr="00A663DB">
        <w:t>préoccupation</w:t>
      </w:r>
      <w:r>
        <w:t xml:space="preserve">, d’une </w:t>
      </w:r>
      <w:r w:rsidRPr="00A663DB">
        <w:rPr>
          <w:i/>
        </w:rPr>
        <w:t>inquiétude</w:t>
      </w:r>
      <w:r>
        <w:rPr>
          <w:i/>
        </w:rPr>
        <w:t xml:space="preserve"> </w:t>
      </w:r>
      <w:r w:rsidRPr="00803103">
        <w:t>durable</w:t>
      </w:r>
      <w:r>
        <w:rPr>
          <w:i/>
        </w:rPr>
        <w:t xml:space="preserve"> </w:t>
      </w:r>
      <w:r w:rsidRPr="00C6724B">
        <w:t>(p. 17)</w:t>
      </w:r>
      <w:r>
        <w:t>, que suscite le terrain, et que la lecture, sans doute, ne peut que rarement égaler.</w:t>
      </w:r>
    </w:p>
    <w:p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DD3CF2">
        <w:t xml:space="preserve">15 février </w:t>
      </w:r>
      <w:r w:rsidR="00D27D24">
        <w:t>202</w:t>
      </w:r>
      <w:r w:rsidR="004F574A">
        <w:t>4</w:t>
      </w:r>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86B" w:rsidRDefault="00EC286B">
      <w:r>
        <w:separator/>
      </w:r>
    </w:p>
  </w:endnote>
  <w:endnote w:type="continuationSeparator" w:id="0">
    <w:p w:rsidR="00EC286B" w:rsidRDefault="00EC2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86B" w:rsidRDefault="00EC286B">
      <w:r>
        <w:separator/>
      </w:r>
    </w:p>
  </w:footnote>
  <w:footnote w:type="continuationSeparator" w:id="0">
    <w:p w:rsidR="00EC286B" w:rsidRDefault="00EC286B">
      <w:r>
        <w:continuationSeparator/>
      </w:r>
    </w:p>
  </w:footnote>
  <w:footnote w:id="1">
    <w:p w:rsidR="00ED35E1" w:rsidRDefault="00ED35E1" w:rsidP="00ED35E1">
      <w:pPr>
        <w:pStyle w:val="Notedebasdepage"/>
      </w:pPr>
      <w:r w:rsidRPr="000757CF">
        <w:rPr>
          <w:rStyle w:val="Appelnotedebasdep"/>
        </w:rPr>
        <w:footnoteRef/>
      </w:r>
      <w:r>
        <w:t xml:space="preserve"> </w:t>
      </w:r>
      <w:r>
        <w:fldChar w:fldCharType="begin"/>
      </w:r>
      <w:r>
        <w:instrText xml:space="preserve"> ADDIN ZOTERO_ITEM CSL_CITATION {"citationID":"7BQVC6p2","properties":{"formattedCitation":"St\\uc0\\u233{}phane Beaud et Florence Weber, {\\i{}Guide de l\\uc0\\u8217{}enqu\\uc0\\u234{}te de terrain} (Paris: La d\\uc0\\u233{}couverte, 2003), 6.","plainCitation":"Stéphane Beaud et Florence Weber, Guide de l’enquête de terrain (Paris: La découverte, 2003), 6.","noteIndex":1},"citationItems":[{"id":1812,"uris":["http://zotero.org/users/2134530/items/SEV6GTJC"],"itemData":{"id":1812,"type":"book","abstract":"Ce guide, devenu la référence sur ce sujet, s'adresse aux étudiants qui souhaitent entreprendre une enquête de terrain dans le cadre d'un mémoire (de licence ou de master) ou d'une thèse, dans des disciplines comme la sociologie, l'anthropologie sociale ou les sciences politiques. Il sera également très utile aux étudiants des premières années de licence de sociologie désireux d'approfondir leurs enseignements de méthodes qualitatives et aux élèves d'écoles de journalisme. Cette quatrième édition, mise à jour, est augmentée de développements sur les usages ethnographiques d'Internet et sur la question cruciale de la déontologie ethnographique.","event-place":"Paris","ISBN":"978-2-7071-6008-9","language":"Français","publisher":"La découverte","publisher-place":"Paris","source":"Amazon.com","title":"Guide de l'enquête de terrain","author":[{"family":"Beaud","given":"Stéphane"},{"family":"Weber","given":"Florence"}],"issued":{"date-parts":[["2003"]]}},"locator":"6","label":"page"}],"schema":"https://github.com/citation-style-language/schema/raw/master/csl-citation.json"} </w:instrText>
      </w:r>
      <w:r>
        <w:fldChar w:fldCharType="separate"/>
      </w:r>
      <w:r w:rsidRPr="009E0348">
        <w:rPr>
          <w:szCs w:val="24"/>
        </w:rPr>
        <w:t xml:space="preserve">Stéphane Beaud et Florence Weber, </w:t>
      </w:r>
      <w:r w:rsidRPr="009E0348">
        <w:rPr>
          <w:i/>
          <w:iCs/>
          <w:szCs w:val="24"/>
        </w:rPr>
        <w:t>Guide de l’enquête de terrain</w:t>
      </w:r>
      <w:r w:rsidRPr="009E0348">
        <w:rPr>
          <w:szCs w:val="24"/>
        </w:rPr>
        <w:t xml:space="preserve"> (Paris: La dé</w:t>
      </w:r>
      <w:r>
        <w:rPr>
          <w:szCs w:val="24"/>
        </w:rPr>
        <w:t>couverte, 2010</w:t>
      </w:r>
      <w:r w:rsidRPr="009E0348">
        <w:rPr>
          <w:szCs w:val="24"/>
        </w:rPr>
        <w:t>), 6.</w:t>
      </w:r>
      <w:r>
        <w:fldChar w:fldCharType="end"/>
      </w:r>
    </w:p>
  </w:footnote>
  <w:footnote w:id="2">
    <w:p w:rsidR="00ED35E1" w:rsidRPr="00211F7F" w:rsidRDefault="00ED35E1" w:rsidP="00ED35E1">
      <w:pPr>
        <w:pStyle w:val="Notedebasdepage"/>
      </w:pPr>
      <w:r w:rsidRPr="000757CF">
        <w:rPr>
          <w:rStyle w:val="Appelnotedebasdep"/>
        </w:rPr>
        <w:footnoteRef/>
      </w:r>
      <w:r w:rsidRPr="009E0348">
        <w:t xml:space="preserve"> </w:t>
      </w:r>
      <w:r>
        <w:fldChar w:fldCharType="begin"/>
      </w:r>
      <w:r>
        <w:instrText xml:space="preserve"> ADDIN ZOTERO_ITEM CSL_CITATION {"citationID":"4LLRLE5A","properties":{"formattedCitation":"Christiane Vollaire, {\\i{}Pour une philosophie de terrain}, Poche (Paris: Creaphis \\uc0\\u233{}ditions, 2017); Evelyn Brister et Robert Frodeman, \\uc0\\u233{}d., {\\i{}A Guide to Field Philosophy: Case Studies and Practical Strategies} (New York London: Routledge, Taylor &amp; Francis Group, 2020); Maud Benetreau et al., {\\i{}Manifeste pour une philosophie de terrain}, 1er \\uc0\\u233{}dition (Dijon: PU DIJON, 2023).","plainCitation":"Christiane Vollaire, Pour une philosophie de terrain, Poche (Paris: Creaphis éditions, 2017); Evelyn Brister et Robert Frodeman, éd., A Guide to Field Philosophy: Case Studies and Practical Strategies (New York London: Routledge, Taylor &amp; Francis Group, 2020); Maud Benetreau et al., Manifeste pour une philosophie de terrain, 1er édition (Dijon: PU DIJON, 2023).","dontUpdate":true,"noteIndex":2},"citationItems":[{"id":12418,"uris":["http://zotero.org/users/2134530/items/ELFYY8QZ"],"itemData":{"id":12418,"type":"book","call-number":"128.4","collection-title":"Poche","event-place":"Paris","ISBN":"978-2-35428-119-9","language":"fre","publisher":"Creaphis éditions","publisher-place":"Paris","source":"BnF ISBN","title":"Pour une philosophie de terrain","author":[{"family":"Vollaire","given":"Christiane"}],"issued":{"date-parts":[["2017"]]}}},{"id":12148,"uris":["http://zotero.org/users/2134530/items/YC5ZB5DW"],"itemData":{"id":12148,"type":"book","event-place":"New York London","ISBN":"978-0-8153-4755-2","language":"en","number-of-pages":"378","publisher":"Routledge, Taylor &amp; Francis Group","publisher-place":"New York London","source":"K10plus ISBN","title":"A guide to field philosophy: case studies and practical strategies","title-short":"A guide to field philosophy","editor":[{"family":"Brister","given":"Evelyn"},{"family":"Frodeman","given":"Robert"}],"issued":{"date-parts":[["2020"]]}}},{"id":12424,"uris":["http://zotero.org/users/2134530/items/2DZE3PXF"],"itemData":{"id":12424,"type":"book","abstract":"Pour comprendre et appréhender la philosophie de terrain.« Philosophie de terrain » : un nombre croissant de philosophes se reconnaissent dans cette expression et la revendiquent pour décrire leur démarche. Sous diverses formes, on mobilise et se réapproprie ce que les sciences humaines et sociales ont thématisé comme des « enquêtes de terrain ». Le collectif PhilosoField publie un Manifeste pour une philosophie de terrain, porteur d’un témoignage comme d’un engagement : témoignage de l’ouverture et de la créativité de cette frange de la philosophie contemporaine ; engagement en faveur des dynamiques collectives qui questionnent et renouvellent la manière dont les savoirs sont produits. Ce n’est donc pas un manifeste « coup de poing », mais plutôt un élargissement des possibles, qui soutient certaines prises de position alternatives voire subversives, et délimite ainsi un espace d’émancipation et d’inventivité.","edition":"1er édition","event-place":"Dijon","ISBN":"978-2-36441-463-1","language":"Français","number-of-pages":"256","publisher":"PU DIJON","publisher-place":"Dijon","source":"Amazon","title":"Manifeste pour une philosophie de terrain","author":[{"family":"Benetreau","given":"Maud"},{"family":"Bérard","given":"Marion"},{"family":"Bogaert","given":"Brenda"},{"family":"Delorme","given":"Damien"},{"family":"Dubar","given":"Margaux"}],"issued":{"date-parts":[["2023",2,28]]}}}],"schema":"https://github.com/citation-style-language/schema/raw/master/csl-citation.json"} </w:instrText>
      </w:r>
      <w:r>
        <w:fldChar w:fldCharType="separate"/>
      </w:r>
      <w:r w:rsidRPr="00211F7F">
        <w:rPr>
          <w:szCs w:val="24"/>
        </w:rPr>
        <w:t xml:space="preserve">Christiane Vollaire, </w:t>
      </w:r>
      <w:r w:rsidRPr="00211F7F">
        <w:rPr>
          <w:i/>
          <w:iCs/>
          <w:szCs w:val="24"/>
        </w:rPr>
        <w:t>Pour une philosophie de terrain</w:t>
      </w:r>
      <w:r w:rsidRPr="00211F7F">
        <w:rPr>
          <w:szCs w:val="24"/>
        </w:rPr>
        <w:t>, Poche (Paris: Creaphis éditions, 2017)</w:t>
      </w:r>
      <w:r w:rsidR="00FD5F65">
        <w:rPr>
          <w:szCs w:val="24"/>
        </w:rPr>
        <w:t> </w:t>
      </w:r>
      <w:r w:rsidRPr="00211F7F">
        <w:rPr>
          <w:szCs w:val="24"/>
        </w:rPr>
        <w:t xml:space="preserve">; Camille Ternier, « "Faire du terrain" en philosophie politique » in M. Bessone (dir.), </w:t>
      </w:r>
      <w:r w:rsidRPr="00211F7F">
        <w:rPr>
          <w:i/>
          <w:szCs w:val="24"/>
        </w:rPr>
        <w:t xml:space="preserve">Méthodes en philosophie politique </w:t>
      </w:r>
      <w:r w:rsidRPr="00211F7F">
        <w:rPr>
          <w:szCs w:val="24"/>
        </w:rPr>
        <w:t>(Rennes: Presses Universitaires de Rennes, 2018)</w:t>
      </w:r>
      <w:r w:rsidR="00DD3CF2">
        <w:rPr>
          <w:szCs w:val="24"/>
        </w:rPr>
        <w:t> </w:t>
      </w:r>
      <w:r w:rsidRPr="00211F7F">
        <w:rPr>
          <w:szCs w:val="24"/>
        </w:rPr>
        <w:t xml:space="preserve">; Evelyn Brister et Robert Frodeman, éd., </w:t>
      </w:r>
      <w:r w:rsidRPr="00211F7F">
        <w:rPr>
          <w:i/>
          <w:iCs/>
          <w:szCs w:val="24"/>
        </w:rPr>
        <w:t>A Guide to Field Philosophy: Case Studies and Practical Strategies</w:t>
      </w:r>
      <w:r w:rsidRPr="00211F7F">
        <w:rPr>
          <w:szCs w:val="24"/>
        </w:rPr>
        <w:t xml:space="preserve"> (New York Londres: Routledge, Taylor &amp; Francis Group, 2020)</w:t>
      </w:r>
      <w:r w:rsidR="00DD3CF2">
        <w:rPr>
          <w:szCs w:val="24"/>
        </w:rPr>
        <w:t> </w:t>
      </w:r>
      <w:r w:rsidRPr="00211F7F">
        <w:rPr>
          <w:szCs w:val="24"/>
        </w:rPr>
        <w:t xml:space="preserve">; Maud Benetreau et al., </w:t>
      </w:r>
      <w:r w:rsidRPr="00211F7F">
        <w:rPr>
          <w:i/>
          <w:iCs/>
          <w:szCs w:val="24"/>
        </w:rPr>
        <w:t>Manifeste pour une philosophie de terrain</w:t>
      </w:r>
      <w:r w:rsidRPr="00211F7F">
        <w:rPr>
          <w:szCs w:val="24"/>
        </w:rPr>
        <w:t xml:space="preserve"> (Dijon: Presses Universitaires de Dijon, 2023).</w:t>
      </w:r>
      <w:r>
        <w:fldChar w:fldCharType="end"/>
      </w:r>
    </w:p>
  </w:footnote>
  <w:footnote w:id="3">
    <w:p w:rsidR="00ED35E1" w:rsidRDefault="00ED35E1" w:rsidP="00ED35E1">
      <w:pPr>
        <w:pStyle w:val="Notedebasdepage"/>
      </w:pPr>
      <w:r w:rsidRPr="000757CF">
        <w:rPr>
          <w:rStyle w:val="Appelnotedebasdep"/>
        </w:rPr>
        <w:footnoteRef/>
      </w:r>
      <w:r>
        <w:t xml:space="preserve"> Ligne </w:t>
      </w:r>
      <w:r w:rsidRPr="00011147">
        <w:t xml:space="preserve">amorcée par </w:t>
      </w:r>
      <w:proofErr w:type="spellStart"/>
      <w:r w:rsidRPr="00011147">
        <w:t>Gayatri</w:t>
      </w:r>
      <w:proofErr w:type="spellEnd"/>
      <w:r w:rsidRPr="00011147">
        <w:t xml:space="preserve"> </w:t>
      </w:r>
      <w:proofErr w:type="spellStart"/>
      <w:r w:rsidRPr="00011147">
        <w:t>Spivak</w:t>
      </w:r>
      <w:proofErr w:type="spellEnd"/>
      <w:r>
        <w:t xml:space="preserve"> dans </w:t>
      </w:r>
      <w:r w:rsidRPr="006A554C">
        <w:rPr>
          <w:i/>
        </w:rPr>
        <w:t xml:space="preserve">Les subalternes peuvent-elles </w:t>
      </w:r>
      <w:proofErr w:type="gramStart"/>
      <w:r w:rsidRPr="006A554C">
        <w:rPr>
          <w:i/>
        </w:rPr>
        <w:t>parler ?</w:t>
      </w:r>
      <w:r w:rsidRPr="006A554C">
        <w:t>,</w:t>
      </w:r>
      <w:proofErr w:type="gramEnd"/>
      <w:r w:rsidRPr="006A554C">
        <w:t xml:space="preserve"> </w:t>
      </w:r>
      <w:r>
        <w:t xml:space="preserve">trad. Jérôme Vidal, </w:t>
      </w:r>
      <w:r w:rsidRPr="006A554C">
        <w:t xml:space="preserve">Paris, </w:t>
      </w:r>
      <w:r w:rsidR="00FD5F65" w:rsidRPr="006A554C">
        <w:t>Éditions</w:t>
      </w:r>
      <w:r w:rsidRPr="006A554C">
        <w:t xml:space="preserve"> Amsterdam, 2009</w:t>
      </w:r>
      <w:r>
        <w:t>.</w:t>
      </w:r>
    </w:p>
  </w:footnote>
  <w:footnote w:id="4">
    <w:p w:rsidR="00ED35E1" w:rsidRDefault="00ED35E1" w:rsidP="00ED35E1">
      <w:pPr>
        <w:pStyle w:val="Notedebasdepage"/>
      </w:pPr>
      <w:r w:rsidRPr="000757CF">
        <w:rPr>
          <w:rStyle w:val="Appelnotedebasdep"/>
        </w:rPr>
        <w:footnoteRef/>
      </w:r>
      <w:r>
        <w:t xml:space="preserve"> </w:t>
      </w:r>
      <w:r>
        <w:fldChar w:fldCharType="begin"/>
      </w:r>
      <w:r>
        <w:instrText xml:space="preserve"> ADDIN ZOTERO_ITEM CSL_CITATION {"citationID":"CVB8oSlQ","properties":{"formattedCitation":"Laurence Bardin, {\\i{}L\\uc0\\u8217{}analyse de contenu}, Quadrige (Paris cedex 14: Presses Universitaires de France, 2013), https://www.cairn.info/l-analyse-de-contenu--9782130627906.htm.","plainCitation":"Laurence Bardin, L’analyse de contenu, Quadrige (Paris cedex 14: Presses Universitaires de France, 2013), https://www.cairn.info/l-analyse-de-contenu--9782130627906.htm.","noteIndex":4},"citationItems":[{"id":12531,"uris":["http://zotero.org/users/2134530/items/H5E7LFQ7"],"itemData":{"id":12531,"type":"book","abstract":"Dans quel contexte la notion d’analyse de contenu a-t-elle émergé ?\nComment être à l’écoute, scientifiquement et avec rigueur, des données écrites et orales qui nous entourent ?\nGrâce à quels outils peut-on comprendre et analyser des entretiens d’enquêtes, des articles de journaux, des émissions de télévision, des affiches publicitaires, des documents historiques ou des contenus numériques ?\n\nLe développement des sciences humaines et sociales, dans les années 1970, a favorisé la liberté de parole, l’effervescence de la pensée et l’explosion de la communication. En parallèle est née une volonté de rendre compte des opinions, des stéréotypes, des mécanismes d’influence et des évolutions individuelles et sociales à travers les paroles, les images, les textes et les discours. Mêlant théorie et démonstrations dans un style clair et précis, cet ouvrage est un outil indispensable pour appréhender l’analyse de contenu, ses différentes méthodes et son application dans les sciences humaines.","archive":"Cairn.info","collection-title":"Quadrige","event-place":"Paris cedex 14","ISBN":"978-2-13-062790-6","language":"FR","number-of-pages":"296","publisher":"Presses Universitaires de France","publisher-place":"Paris cedex 14","title":"L'analyse de contenu","URL":"https://www.cairn.info/l-analyse-de-contenu--9782130627906.htm","author":[{"family":"Bardin","given":"Laurence"}],"issued":{"date-parts":[["2013"]]}}}],"schema":"https://github.com/citation-style-language/schema/raw/master/csl-citation.json"} </w:instrText>
      </w:r>
      <w:r>
        <w:fldChar w:fldCharType="separate"/>
      </w:r>
      <w:r w:rsidRPr="00DC09A4">
        <w:rPr>
          <w:szCs w:val="24"/>
        </w:rPr>
        <w:t xml:space="preserve">Laurence Bardin, </w:t>
      </w:r>
      <w:r w:rsidRPr="00DC09A4">
        <w:rPr>
          <w:i/>
          <w:iCs/>
          <w:szCs w:val="24"/>
        </w:rPr>
        <w:t>L’analyse de contenu</w:t>
      </w:r>
      <w:r w:rsidRPr="00DC09A4">
        <w:rPr>
          <w:szCs w:val="24"/>
        </w:rPr>
        <w:t>, Quadrige (Paris cedex 14: Presses Universitaires de France, 2013), https://www.cairn.info/l-analyse-de-contenu--9782130627906.htm.</w:t>
      </w:r>
      <w:r>
        <w:fldChar w:fldCharType="end"/>
      </w:r>
    </w:p>
  </w:footnote>
  <w:footnote w:id="5">
    <w:p w:rsidR="00ED35E1" w:rsidRDefault="00ED35E1" w:rsidP="00ED35E1">
      <w:pPr>
        <w:pStyle w:val="Notedebasdepage"/>
      </w:pPr>
      <w:r w:rsidRPr="000757CF">
        <w:rPr>
          <w:rStyle w:val="Appelnotedebasdep"/>
        </w:rPr>
        <w:footnoteRef/>
      </w:r>
      <w:r w:rsidRPr="00DC09A4">
        <w:t xml:space="preserve"> Camille </w:t>
      </w:r>
      <w:proofErr w:type="spellStart"/>
      <w:r w:rsidRPr="00DC09A4">
        <w:t>Ternier</w:t>
      </w:r>
      <w:proofErr w:type="spellEnd"/>
      <w:r w:rsidRPr="00DC09A4">
        <w:t xml:space="preserve">, « "Faire du terrain" en philosophie politique » in M. </w:t>
      </w:r>
      <w:proofErr w:type="spellStart"/>
      <w:r w:rsidRPr="00DC09A4">
        <w:t>Bessone</w:t>
      </w:r>
      <w:proofErr w:type="spellEnd"/>
      <w:r w:rsidRPr="00DC09A4">
        <w:t xml:space="preserve"> (</w:t>
      </w:r>
      <w:proofErr w:type="spellStart"/>
      <w:r w:rsidRPr="00DC09A4">
        <w:t>dir</w:t>
      </w:r>
      <w:proofErr w:type="spellEnd"/>
      <w:r w:rsidRPr="00DC09A4">
        <w:t xml:space="preserve">.), </w:t>
      </w:r>
      <w:r w:rsidRPr="00DC09A4">
        <w:rPr>
          <w:i/>
        </w:rPr>
        <w:t>Méthodes en philosophie politique</w:t>
      </w:r>
      <w:r w:rsidRPr="00DC09A4">
        <w:t xml:space="preserve"> (</w:t>
      </w:r>
      <w:proofErr w:type="gramStart"/>
      <w:r w:rsidRPr="00DC09A4">
        <w:t>Rennes:</w:t>
      </w:r>
      <w:proofErr w:type="gramEnd"/>
      <w:r w:rsidRPr="00DC09A4">
        <w:t xml:space="preserve"> Presses Universitaires de Rennes,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8"/>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66DE"/>
    <w:rsid w:val="0000797A"/>
    <w:rsid w:val="00024968"/>
    <w:rsid w:val="00031798"/>
    <w:rsid w:val="000462B1"/>
    <w:rsid w:val="00076CDA"/>
    <w:rsid w:val="00092F1D"/>
    <w:rsid w:val="000A449F"/>
    <w:rsid w:val="000B2407"/>
    <w:rsid w:val="000C3EA2"/>
    <w:rsid w:val="000D6A7D"/>
    <w:rsid w:val="000E1207"/>
    <w:rsid w:val="000E64D7"/>
    <w:rsid w:val="00100FDE"/>
    <w:rsid w:val="00106373"/>
    <w:rsid w:val="0010782F"/>
    <w:rsid w:val="001264AC"/>
    <w:rsid w:val="001A60CD"/>
    <w:rsid w:val="001B22FA"/>
    <w:rsid w:val="001B2D34"/>
    <w:rsid w:val="001C0661"/>
    <w:rsid w:val="001E233F"/>
    <w:rsid w:val="001E4C4E"/>
    <w:rsid w:val="001F2932"/>
    <w:rsid w:val="00231FE5"/>
    <w:rsid w:val="00235E33"/>
    <w:rsid w:val="002407C9"/>
    <w:rsid w:val="00242BA1"/>
    <w:rsid w:val="00265927"/>
    <w:rsid w:val="0028766C"/>
    <w:rsid w:val="002A0A21"/>
    <w:rsid w:val="003253C2"/>
    <w:rsid w:val="00340972"/>
    <w:rsid w:val="003616E4"/>
    <w:rsid w:val="00370594"/>
    <w:rsid w:val="003A3728"/>
    <w:rsid w:val="003B1DDC"/>
    <w:rsid w:val="003B3E7A"/>
    <w:rsid w:val="00411810"/>
    <w:rsid w:val="00412DC5"/>
    <w:rsid w:val="00415403"/>
    <w:rsid w:val="00424A7A"/>
    <w:rsid w:val="00427A80"/>
    <w:rsid w:val="00437286"/>
    <w:rsid w:val="00440B6F"/>
    <w:rsid w:val="00463500"/>
    <w:rsid w:val="00472187"/>
    <w:rsid w:val="00481F8F"/>
    <w:rsid w:val="004D6529"/>
    <w:rsid w:val="004F4281"/>
    <w:rsid w:val="004F574A"/>
    <w:rsid w:val="004F57E5"/>
    <w:rsid w:val="0050039D"/>
    <w:rsid w:val="005069BE"/>
    <w:rsid w:val="005A77EA"/>
    <w:rsid w:val="005B0E78"/>
    <w:rsid w:val="005C5829"/>
    <w:rsid w:val="005D5D24"/>
    <w:rsid w:val="00604921"/>
    <w:rsid w:val="00617961"/>
    <w:rsid w:val="00632336"/>
    <w:rsid w:val="0063372A"/>
    <w:rsid w:val="00637962"/>
    <w:rsid w:val="006432B1"/>
    <w:rsid w:val="00681218"/>
    <w:rsid w:val="00683A88"/>
    <w:rsid w:val="00685886"/>
    <w:rsid w:val="006B4939"/>
    <w:rsid w:val="006B625A"/>
    <w:rsid w:val="006E7A74"/>
    <w:rsid w:val="0072515D"/>
    <w:rsid w:val="00726C13"/>
    <w:rsid w:val="0073080B"/>
    <w:rsid w:val="00740D4F"/>
    <w:rsid w:val="007701E0"/>
    <w:rsid w:val="00787779"/>
    <w:rsid w:val="007922AF"/>
    <w:rsid w:val="00792FBC"/>
    <w:rsid w:val="007A1268"/>
    <w:rsid w:val="007B5D97"/>
    <w:rsid w:val="007D0A96"/>
    <w:rsid w:val="007D35B5"/>
    <w:rsid w:val="007E6D92"/>
    <w:rsid w:val="007E729E"/>
    <w:rsid w:val="007F50F0"/>
    <w:rsid w:val="008169C2"/>
    <w:rsid w:val="00865FAE"/>
    <w:rsid w:val="008B1967"/>
    <w:rsid w:val="008B4F80"/>
    <w:rsid w:val="008C7D8A"/>
    <w:rsid w:val="008D57AB"/>
    <w:rsid w:val="008E46DD"/>
    <w:rsid w:val="008E5CFF"/>
    <w:rsid w:val="008F3232"/>
    <w:rsid w:val="009243CE"/>
    <w:rsid w:val="009403BD"/>
    <w:rsid w:val="00953330"/>
    <w:rsid w:val="00961394"/>
    <w:rsid w:val="0098253B"/>
    <w:rsid w:val="009857DD"/>
    <w:rsid w:val="009F57ED"/>
    <w:rsid w:val="00A04073"/>
    <w:rsid w:val="00A55C33"/>
    <w:rsid w:val="00A8559A"/>
    <w:rsid w:val="00AB2EDB"/>
    <w:rsid w:val="00AD258A"/>
    <w:rsid w:val="00AE4248"/>
    <w:rsid w:val="00B05675"/>
    <w:rsid w:val="00B24251"/>
    <w:rsid w:val="00B83048"/>
    <w:rsid w:val="00B87A4D"/>
    <w:rsid w:val="00B90D39"/>
    <w:rsid w:val="00BA1FD2"/>
    <w:rsid w:val="00BB0030"/>
    <w:rsid w:val="00BB1A65"/>
    <w:rsid w:val="00BC0AE3"/>
    <w:rsid w:val="00BC2006"/>
    <w:rsid w:val="00BC76CE"/>
    <w:rsid w:val="00BF0C14"/>
    <w:rsid w:val="00C2390F"/>
    <w:rsid w:val="00C35861"/>
    <w:rsid w:val="00C70344"/>
    <w:rsid w:val="00C71D32"/>
    <w:rsid w:val="00C83B38"/>
    <w:rsid w:val="00C92AF8"/>
    <w:rsid w:val="00CA14AD"/>
    <w:rsid w:val="00CA4133"/>
    <w:rsid w:val="00CA54CB"/>
    <w:rsid w:val="00CA6A71"/>
    <w:rsid w:val="00CD2835"/>
    <w:rsid w:val="00CE3519"/>
    <w:rsid w:val="00CE415E"/>
    <w:rsid w:val="00CE7976"/>
    <w:rsid w:val="00D06258"/>
    <w:rsid w:val="00D128B5"/>
    <w:rsid w:val="00D1372F"/>
    <w:rsid w:val="00D27D24"/>
    <w:rsid w:val="00D60295"/>
    <w:rsid w:val="00D73055"/>
    <w:rsid w:val="00D81B12"/>
    <w:rsid w:val="00D85E7E"/>
    <w:rsid w:val="00D85FB6"/>
    <w:rsid w:val="00D9144D"/>
    <w:rsid w:val="00D960E5"/>
    <w:rsid w:val="00DA1B1B"/>
    <w:rsid w:val="00DA63DC"/>
    <w:rsid w:val="00DD1322"/>
    <w:rsid w:val="00DD3CF2"/>
    <w:rsid w:val="00DF040B"/>
    <w:rsid w:val="00DF1D51"/>
    <w:rsid w:val="00DF54FA"/>
    <w:rsid w:val="00E213B0"/>
    <w:rsid w:val="00E248D4"/>
    <w:rsid w:val="00E623AC"/>
    <w:rsid w:val="00E64949"/>
    <w:rsid w:val="00E73B7C"/>
    <w:rsid w:val="00E75C6B"/>
    <w:rsid w:val="00E82115"/>
    <w:rsid w:val="00E957F2"/>
    <w:rsid w:val="00E9587B"/>
    <w:rsid w:val="00EC286B"/>
    <w:rsid w:val="00ED35E1"/>
    <w:rsid w:val="00ED5C35"/>
    <w:rsid w:val="00EE1383"/>
    <w:rsid w:val="00F0353B"/>
    <w:rsid w:val="00F049B7"/>
    <w:rsid w:val="00F43C5F"/>
    <w:rsid w:val="00F607AA"/>
    <w:rsid w:val="00F8354D"/>
    <w:rsid w:val="00FB0063"/>
    <w:rsid w:val="00FB6A79"/>
    <w:rsid w:val="00FD5F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F8137"/>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D73055"/>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 w:type="character" w:customStyle="1" w:styleId="Titre2Car">
    <w:name w:val="Titre 2 Car"/>
    <w:basedOn w:val="Policepardfaut"/>
    <w:link w:val="Titre2"/>
    <w:uiPriority w:val="9"/>
    <w:rsid w:val="00D73055"/>
    <w:rPr>
      <w:rFonts w:asciiTheme="majorHAnsi" w:eastAsiaTheme="majorEastAsia" w:hAnsiTheme="majorHAnsi" w:cstheme="majorBidi"/>
      <w:color w:val="365F91" w:themeColor="accent1" w:themeShade="BF"/>
      <w:sz w:val="26"/>
      <w:szCs w:val="26"/>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839929284">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A56FD91-83D4-6F4F-9D20-A3F4CBB5B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9</TotalTime>
  <Pages>7</Pages>
  <Words>2318</Words>
  <Characters>12753</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4</cp:revision>
  <dcterms:created xsi:type="dcterms:W3CDTF">2024-02-12T12:25:00Z</dcterms:created>
  <dcterms:modified xsi:type="dcterms:W3CDTF">2024-02-12T12:50:00Z</dcterms:modified>
</cp:coreProperties>
</file>