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001CE673" w:rsidR="00EF6195" w:rsidRDefault="009E28A9"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Que nous a appris</w:t>
      </w:r>
      <w:r w:rsidR="000C6775">
        <w:rPr>
          <w:rFonts w:ascii="Myriad Pro" w:hAnsi="Myriad Pro"/>
          <w:b w:val="0"/>
          <w:i w:val="0"/>
          <w:noProof/>
          <w:sz w:val="64"/>
          <w:szCs w:val="64"/>
          <w:shd w:val="clear" w:color="auto" w:fill="auto"/>
        </w:rPr>
        <w:t xml:space="preserve"> le Qatargate</w:t>
      </w:r>
      <w:r>
        <w:rPr>
          <w:rFonts w:ascii="Myriad Pro" w:hAnsi="Myriad Pro"/>
          <w:b w:val="0"/>
          <w:i w:val="0"/>
          <w:noProof/>
          <w:sz w:val="64"/>
          <w:szCs w:val="64"/>
          <w:shd w:val="clear" w:color="auto" w:fill="auto"/>
        </w:rPr>
        <w:t> ?</w:t>
      </w:r>
    </w:p>
    <w:p w14:paraId="16BF44AC" w14:textId="6FC177A2" w:rsidR="009E28A9" w:rsidRPr="009E28A9" w:rsidRDefault="009E28A9" w:rsidP="009E28A9">
      <w:pPr>
        <w:pStyle w:val="VDISous-titre"/>
        <w:rPr>
          <w:sz w:val="24"/>
          <w:szCs w:val="24"/>
        </w:rPr>
      </w:pPr>
      <w:r>
        <w:rPr>
          <w:shd w:val="clear" w:color="auto" w:fill="FFFFFF"/>
        </w:rPr>
        <w:t>Union européenne et politiques de vigilance anti-corruption</w:t>
      </w:r>
    </w:p>
    <w:p w14:paraId="1FB45313" w14:textId="458A89AD" w:rsidR="000C6775" w:rsidRPr="00411CC6" w:rsidRDefault="008B1967" w:rsidP="009E28A9">
      <w:pPr>
        <w:pStyle w:val="VDIAuteur"/>
      </w:pPr>
      <w:proofErr w:type="gramStart"/>
      <w:r w:rsidRPr="009E28A9">
        <w:t>p</w:t>
      </w:r>
      <w:r w:rsidR="00E75C6B" w:rsidRPr="009E28A9">
        <w:t>ar</w:t>
      </w:r>
      <w:proofErr w:type="gramEnd"/>
      <w:r w:rsidR="00E75C6B" w:rsidRPr="00411CC6">
        <w:t xml:space="preserve"> </w:t>
      </w:r>
      <w:r w:rsidR="000C6775">
        <w:t xml:space="preserve">Lola Avril &amp; </w:t>
      </w:r>
      <w:r w:rsidR="000C6775" w:rsidRPr="00C00CAB">
        <w:t>Antoine Vauchez</w:t>
      </w:r>
    </w:p>
    <w:p w14:paraId="60E4C95E" w14:textId="1F6212A9" w:rsidR="00AF7093" w:rsidRPr="000C6775" w:rsidRDefault="00AF7093" w:rsidP="000C6775">
      <w:pPr>
        <w:pStyle w:val="VDIChapo"/>
      </w:pPr>
      <w:proofErr w:type="spellStart"/>
      <w:r w:rsidRPr="000C6775">
        <w:t>Il</w:t>
      </w:r>
      <w:proofErr w:type="spellEnd"/>
      <w:r w:rsidRPr="000C6775">
        <w:t xml:space="preserve"> y a </w:t>
      </w:r>
      <w:proofErr w:type="spellStart"/>
      <w:r w:rsidRPr="000C6775">
        <w:t>un</w:t>
      </w:r>
      <w:proofErr w:type="spellEnd"/>
      <w:r w:rsidRPr="000C6775">
        <w:t xml:space="preserve"> </w:t>
      </w:r>
      <w:proofErr w:type="spellStart"/>
      <w:r w:rsidRPr="000C6775">
        <w:t>an</w:t>
      </w:r>
      <w:proofErr w:type="spellEnd"/>
      <w:r w:rsidRPr="000C6775">
        <w:t xml:space="preserve">, </w:t>
      </w:r>
      <w:proofErr w:type="spellStart"/>
      <w:r w:rsidRPr="000C6775">
        <w:t>le</w:t>
      </w:r>
      <w:proofErr w:type="spellEnd"/>
      <w:r w:rsidRPr="000C6775">
        <w:t xml:space="preserve"> Qatargate </w:t>
      </w:r>
      <w:proofErr w:type="spellStart"/>
      <w:r w:rsidRPr="000C6775">
        <w:t>donnait</w:t>
      </w:r>
      <w:proofErr w:type="spellEnd"/>
      <w:r w:rsidRPr="000C6775">
        <w:t xml:space="preserve"> à </w:t>
      </w:r>
      <w:proofErr w:type="spellStart"/>
      <w:r w:rsidRPr="000C6775">
        <w:t>voir</w:t>
      </w:r>
      <w:proofErr w:type="spellEnd"/>
      <w:r w:rsidRPr="000C6775">
        <w:t xml:space="preserve"> la </w:t>
      </w:r>
      <w:proofErr w:type="spellStart"/>
      <w:r w:rsidRPr="000C6775">
        <w:t>politique</w:t>
      </w:r>
      <w:proofErr w:type="spellEnd"/>
      <w:r w:rsidRPr="000C6775">
        <w:t xml:space="preserve"> de </w:t>
      </w:r>
      <w:proofErr w:type="spellStart"/>
      <w:r w:rsidRPr="000C6775">
        <w:t>l’influence</w:t>
      </w:r>
      <w:proofErr w:type="spellEnd"/>
      <w:r w:rsidRPr="000C6775">
        <w:t xml:space="preserve"> </w:t>
      </w:r>
      <w:proofErr w:type="spellStart"/>
      <w:r w:rsidRPr="000C6775">
        <w:t>qui</w:t>
      </w:r>
      <w:proofErr w:type="spellEnd"/>
      <w:r w:rsidRPr="000C6775">
        <w:t xml:space="preserve"> se </w:t>
      </w:r>
      <w:proofErr w:type="spellStart"/>
      <w:r w:rsidRPr="000C6775">
        <w:t>déploie</w:t>
      </w:r>
      <w:proofErr w:type="spellEnd"/>
      <w:r w:rsidRPr="000C6775">
        <w:t xml:space="preserve"> à la </w:t>
      </w:r>
      <w:proofErr w:type="spellStart"/>
      <w:r w:rsidRPr="000C6775">
        <w:t>périphérie</w:t>
      </w:r>
      <w:proofErr w:type="spellEnd"/>
      <w:r w:rsidRPr="000C6775">
        <w:t xml:space="preserve"> de la démocratie </w:t>
      </w:r>
      <w:proofErr w:type="spellStart"/>
      <w:r w:rsidRPr="000C6775">
        <w:t>européenne</w:t>
      </w:r>
      <w:proofErr w:type="spellEnd"/>
      <w:r w:rsidRPr="000C6775">
        <w:t xml:space="preserve">. </w:t>
      </w:r>
      <w:proofErr w:type="spellStart"/>
      <w:r w:rsidRPr="000C6775">
        <w:t>Il</w:t>
      </w:r>
      <w:proofErr w:type="spellEnd"/>
      <w:r w:rsidRPr="000C6775">
        <w:t xml:space="preserve"> </w:t>
      </w:r>
      <w:proofErr w:type="spellStart"/>
      <w:r w:rsidRPr="000C6775">
        <w:t>conduit</w:t>
      </w:r>
      <w:proofErr w:type="spellEnd"/>
      <w:r w:rsidRPr="000C6775">
        <w:t xml:space="preserve"> </w:t>
      </w:r>
      <w:proofErr w:type="spellStart"/>
      <w:r w:rsidRPr="000C6775">
        <w:t>aujourd’hui</w:t>
      </w:r>
      <w:proofErr w:type="spellEnd"/>
      <w:r w:rsidRPr="000C6775">
        <w:t xml:space="preserve"> à </w:t>
      </w:r>
      <w:proofErr w:type="spellStart"/>
      <w:r w:rsidRPr="000C6775">
        <w:t>réfléchir</w:t>
      </w:r>
      <w:proofErr w:type="spellEnd"/>
      <w:r w:rsidRPr="000C6775">
        <w:t xml:space="preserve"> à la </w:t>
      </w:r>
      <w:proofErr w:type="spellStart"/>
      <w:r w:rsidRPr="000C6775">
        <w:t>vulnérabilité</w:t>
      </w:r>
      <w:proofErr w:type="spellEnd"/>
      <w:r w:rsidR="00227427">
        <w:t>,</w:t>
      </w:r>
      <w:r w:rsidRPr="000C6775">
        <w:t xml:space="preserve"> mais </w:t>
      </w:r>
      <w:proofErr w:type="spellStart"/>
      <w:r w:rsidRPr="000C6775">
        <w:t>aussi</w:t>
      </w:r>
      <w:proofErr w:type="spellEnd"/>
      <w:r w:rsidRPr="000C6775">
        <w:t xml:space="preserve"> à la </w:t>
      </w:r>
      <w:proofErr w:type="spellStart"/>
      <w:r w:rsidRPr="000C6775">
        <w:t>réticence</w:t>
      </w:r>
      <w:proofErr w:type="spellEnd"/>
      <w:r w:rsidRPr="000C6775">
        <w:t xml:space="preserve"> des </w:t>
      </w:r>
      <w:proofErr w:type="spellStart"/>
      <w:r w:rsidRPr="000C6775">
        <w:t>institutions</w:t>
      </w:r>
      <w:proofErr w:type="spellEnd"/>
      <w:r w:rsidRPr="000C6775">
        <w:t xml:space="preserve"> </w:t>
      </w:r>
      <w:proofErr w:type="spellStart"/>
      <w:r w:rsidRPr="000C6775">
        <w:t>européennes</w:t>
      </w:r>
      <w:proofErr w:type="spellEnd"/>
      <w:r w:rsidRPr="000C6775">
        <w:t xml:space="preserve"> à y faire face. </w:t>
      </w:r>
    </w:p>
    <w:p w14:paraId="4EEA7823" w14:textId="58DC8A05" w:rsidR="000C6775" w:rsidRPr="000C6775" w:rsidRDefault="000C6775" w:rsidP="000C6775">
      <w:pPr>
        <w:pStyle w:val="VDIEncadr"/>
      </w:pPr>
      <w:r w:rsidRPr="00ED1F04">
        <w:t xml:space="preserve">Ce texte </w:t>
      </w:r>
      <w:r>
        <w:t xml:space="preserve">résume les principaux axes d’un Livre blanc rédigé pour le compte de l’Observatoire de l’éthique publique par un groupe de cinq juristes et politistes qui sera publié sur le site de l’Observatoire le 9 décembre prochain, date « anniversaire » qui marque, non sans ironie, tout à la fois les premières arrestations du </w:t>
      </w:r>
      <w:proofErr w:type="spellStart"/>
      <w:r>
        <w:t>Qatargate</w:t>
      </w:r>
      <w:proofErr w:type="spellEnd"/>
      <w:r>
        <w:t xml:space="preserve"> en 2022 et la journée mondiale de lutte contre la corruption : </w:t>
      </w:r>
      <w:r w:rsidRPr="00ED1F04">
        <w:t xml:space="preserve">Antoine Vauchez, Lola Avril, Chloé Fauchon, Emilia </w:t>
      </w:r>
      <w:proofErr w:type="spellStart"/>
      <w:r w:rsidRPr="00ED1F04">
        <w:t>Korkea-aho</w:t>
      </w:r>
      <w:proofErr w:type="spellEnd"/>
      <w:r w:rsidRPr="00ED1F04">
        <w:t xml:space="preserve">, Juliette </w:t>
      </w:r>
      <w:proofErr w:type="spellStart"/>
      <w:r w:rsidRPr="00ED1F04">
        <w:t>Lelieur</w:t>
      </w:r>
      <w:proofErr w:type="spellEnd"/>
      <w:r w:rsidRPr="00ED1F04">
        <w:t xml:space="preserve">, </w:t>
      </w:r>
      <w:r w:rsidRPr="00ED1F04">
        <w:rPr>
          <w:i/>
          <w:iCs/>
        </w:rPr>
        <w:t xml:space="preserve">Un an après le </w:t>
      </w:r>
      <w:proofErr w:type="spellStart"/>
      <w:r w:rsidRPr="00ED1F04">
        <w:rPr>
          <w:i/>
          <w:iCs/>
        </w:rPr>
        <w:t>Qatargate</w:t>
      </w:r>
      <w:proofErr w:type="spellEnd"/>
      <w:r w:rsidRPr="00ED1F04">
        <w:rPr>
          <w:i/>
          <w:iCs/>
        </w:rPr>
        <w:t xml:space="preserve">. Protéger l’Union européenne contre les conflits d’intérêts et la corruption, </w:t>
      </w:r>
      <w:r w:rsidRPr="00ED1F04">
        <w:t>Livre blanc</w:t>
      </w:r>
      <w:r w:rsidR="00A0107E">
        <w:t xml:space="preserve"> de</w:t>
      </w:r>
      <w:r w:rsidRPr="00ED1F04">
        <w:t xml:space="preserve"> l’Observatoire de l’éthique publique, 2023.</w:t>
      </w:r>
    </w:p>
    <w:p w14:paraId="0BA6E6CE" w14:textId="0EA66293" w:rsidR="000C6775" w:rsidRDefault="00AF7093" w:rsidP="000C6775">
      <w:pPr>
        <w:pStyle w:val="Corps"/>
      </w:pPr>
      <w:r w:rsidRPr="00C00CAB">
        <w:t xml:space="preserve">Les scandales ont une vertu démocratique. Non seulement ils témoignent, par leur retentissement, de l'attachement des citoyens à l'éthique publique et au caractère démocratique des processus décisionnels, mais ils offrent aussi un éclairage précieux, quoique souvent cruel, sur le fonctionnement concret de nos institutions politiques et administratives. Le </w:t>
      </w:r>
      <w:proofErr w:type="spellStart"/>
      <w:r w:rsidRPr="00C00CAB">
        <w:t>Qatargate</w:t>
      </w:r>
      <w:proofErr w:type="spellEnd"/>
      <w:r w:rsidRPr="00C00CAB">
        <w:t xml:space="preserve"> n’a pas dérogé à la règle avec l’arrestation en décembre 2022 d’une vice-présidente du Parlement européen, d’un assistant parlementaire et d’un ancien député, tous trois accusés d’avoir pris part à un système corruptif visant </w:t>
      </w:r>
      <w:r w:rsidRPr="00C00CAB">
        <w:lastRenderedPageBreak/>
        <w:t xml:space="preserve">à peser sur les prises de position de l’assemblée parlementaire à l’égard du pays organisateur de la Coupe du monde 2022. Si l’affaire est </w:t>
      </w:r>
      <w:r w:rsidR="007365CD" w:rsidRPr="00C00CAB">
        <w:t xml:space="preserve">extrême </w:t>
      </w:r>
      <w:r w:rsidRPr="00C00CAB">
        <w:t xml:space="preserve">à bien des égards, ce qu’elle </w:t>
      </w:r>
      <w:r>
        <w:t>révèle</w:t>
      </w:r>
      <w:r w:rsidRPr="00C00CAB">
        <w:t xml:space="preserve"> l’est moins, à savoir le fait que la cha</w:t>
      </w:r>
      <w:r>
        <w:t>î</w:t>
      </w:r>
      <w:r w:rsidRPr="00C00CAB">
        <w:t>ne de décision européenne est aujourd’hui soumise à la pression continue et soutenue d’une politique de l’influence qui emprunte des voies diverses (corruption directe, conflits d’intérêts, etc.) qui sont autant de court</w:t>
      </w:r>
      <w:r>
        <w:t>s</w:t>
      </w:r>
      <w:r w:rsidRPr="00C00CAB">
        <w:t xml:space="preserve">-circuits et contournements des processus démocratiques. </w:t>
      </w:r>
    </w:p>
    <w:p w14:paraId="41B21921" w14:textId="107296CB" w:rsidR="00AF7093" w:rsidRPr="000C6775" w:rsidRDefault="00AF7093" w:rsidP="000C6775">
      <w:pPr>
        <w:pStyle w:val="Corps"/>
      </w:pPr>
      <w:r w:rsidRPr="00C00CAB">
        <w:t xml:space="preserve">Mais le </w:t>
      </w:r>
      <w:proofErr w:type="spellStart"/>
      <w:r w:rsidRPr="00C00CAB">
        <w:t>Qatargate</w:t>
      </w:r>
      <w:proofErr w:type="spellEnd"/>
      <w:r w:rsidRPr="00C00CAB">
        <w:t xml:space="preserve"> a aussi rappelé que, dans une Union européenne qui s’est historiquement pensée comme une fabrique de politiques publiques, voire une vaste agence régulant le Marché unique, le « souci de soi » de la démocratie européenne reste encore embryonnaire</w:t>
      </w:r>
      <w:r w:rsidRPr="00C00CAB">
        <w:rPr>
          <w:rStyle w:val="Appelnotedebasdep"/>
          <w:rFonts w:ascii="Times New Roman" w:hAnsi="Times New Roman" w:cs="Times New Roman"/>
        </w:rPr>
        <w:footnoteReference w:id="1"/>
      </w:r>
      <w:r w:rsidRPr="00C00CAB">
        <w:t xml:space="preserve">. Au moment où </w:t>
      </w:r>
      <w:r>
        <w:t>les État</w:t>
      </w:r>
      <w:r w:rsidRPr="00C00CAB">
        <w:t xml:space="preserve">s et </w:t>
      </w:r>
      <w:r>
        <w:t>l’</w:t>
      </w:r>
      <w:r w:rsidRPr="00C00CAB">
        <w:t xml:space="preserve">Union européenne </w:t>
      </w:r>
      <w:r>
        <w:t>sont appelés à conduire</w:t>
      </w:r>
      <w:r w:rsidRPr="00C00CAB">
        <w:t xml:space="preserve"> la conversion écologique de nos sociétés et nos économies et </w:t>
      </w:r>
      <w:r>
        <w:t xml:space="preserve">à </w:t>
      </w:r>
      <w:r w:rsidRPr="00C00CAB">
        <w:t xml:space="preserve">faire face </w:t>
      </w:r>
      <w:r>
        <w:t>à une multiplicité de</w:t>
      </w:r>
      <w:r w:rsidRPr="00C00CAB">
        <w:t xml:space="preserve"> crises, le </w:t>
      </w:r>
      <w:proofErr w:type="spellStart"/>
      <w:r w:rsidRPr="00C00CAB">
        <w:t>Qatargate</w:t>
      </w:r>
      <w:proofErr w:type="spellEnd"/>
      <w:r w:rsidRPr="00C00CAB">
        <w:t xml:space="preserve"> a fait voir la vulnérabilité et l’impréparation de</w:t>
      </w:r>
      <w:r>
        <w:t xml:space="preserve">s institutions européennes </w:t>
      </w:r>
      <w:r w:rsidRPr="00C00CAB">
        <w:t>face à la puissante politique de l’influence qui s’est construit</w:t>
      </w:r>
      <w:r>
        <w:t>e</w:t>
      </w:r>
      <w:r w:rsidRPr="00C00CAB">
        <w:t xml:space="preserve"> à </w:t>
      </w:r>
      <w:r>
        <w:t>leur</w:t>
      </w:r>
      <w:r w:rsidRPr="00C00CAB">
        <w:t xml:space="preserve"> périphérie. Ces défis monumentaux imposent aujourd’hui de jeter les bases d’un nouvel « art de la séparation »</w:t>
      </w:r>
      <w:r w:rsidRPr="00C00CAB">
        <w:rPr>
          <w:rStyle w:val="Appelnotedebasdep"/>
          <w:rFonts w:ascii="Times New Roman" w:hAnsi="Times New Roman" w:cs="Times New Roman"/>
        </w:rPr>
        <w:footnoteReference w:id="2"/>
      </w:r>
      <w:r w:rsidRPr="00C00CAB">
        <w:t xml:space="preserve"> qui place en son cœur la protection de l’autonomie des espaces de décision et de délibération politique</w:t>
      </w:r>
      <w:r>
        <w:t>s</w:t>
      </w:r>
      <w:r w:rsidRPr="00C00CAB">
        <w:t xml:space="preserve"> et garantisse ainsi la pérennité de la démocratie dans l’Union européenne. Parce qu’elle est le laboratoire et la vitrine commune des États membres</w:t>
      </w:r>
      <w:r w:rsidR="00227427">
        <w:t>,</w:t>
      </w:r>
      <w:r>
        <w:t xml:space="preserve"> mais aussi parce qu’elle a fait de la lutte contre la corruption un des piliers de sa politique d’élargissement</w:t>
      </w:r>
      <w:r w:rsidRPr="00C00CAB">
        <w:t>, l’Europe de Bruxelles a ici une responsabilité particulière.</w:t>
      </w:r>
    </w:p>
    <w:p w14:paraId="4EB9638C" w14:textId="67636666" w:rsidR="00AF7093" w:rsidRPr="000C6775" w:rsidRDefault="00AF7093" w:rsidP="000C6775">
      <w:pPr>
        <w:pStyle w:val="VDIIntertitre"/>
      </w:pPr>
      <w:r w:rsidRPr="00C00CAB">
        <w:t>Le faible « souci de soi » de la démocratie européenne</w:t>
      </w:r>
    </w:p>
    <w:p w14:paraId="392CCF25" w14:textId="77777777" w:rsidR="00AF7093" w:rsidRPr="00EA5810" w:rsidRDefault="00AF7093" w:rsidP="00AF7093">
      <w:pPr>
        <w:pStyle w:val="Corps"/>
        <w:rPr>
          <w:b/>
          <w:bCs/>
        </w:rPr>
      </w:pPr>
      <w:r w:rsidRPr="00C00CAB">
        <w:t xml:space="preserve">Si certains continuent d’affirmer que la corruption et les conflits d’intérêts sont endémiques </w:t>
      </w:r>
      <w:r>
        <w:t>dans</w:t>
      </w:r>
      <w:r w:rsidRPr="00C00CAB">
        <w:t xml:space="preserve"> toute forme de gou</w:t>
      </w:r>
      <w:bookmarkStart w:id="0" w:name="_GoBack"/>
      <w:bookmarkEnd w:id="0"/>
      <w:r w:rsidRPr="00C00CAB">
        <w:t xml:space="preserve">vernement, il existe de nombreuses raisons de penser que la vulnérabilité aux stratégies d’influence des démocraties européennes en général, et de l’Union européenne en particulier, s’est accrue au fil des dernières </w:t>
      </w:r>
      <w:r w:rsidRPr="00C00CAB">
        <w:lastRenderedPageBreak/>
        <w:t xml:space="preserve">années. </w:t>
      </w:r>
      <w:r>
        <w:t>À</w:t>
      </w:r>
      <w:r w:rsidRPr="00C00CAB">
        <w:t xml:space="preserve"> mesure que les pouvoirs publics se transformaient, sous l’effet du tournant néolibéral des années 1990, en une longue chaîne de « régulateurs » (</w:t>
      </w:r>
      <w:r>
        <w:t>ministères économiques</w:t>
      </w:r>
      <w:r w:rsidRPr="00C00CAB">
        <w:t xml:space="preserve">, agences indépendantes, banques centrales, </w:t>
      </w:r>
      <w:r>
        <w:t xml:space="preserve">voire </w:t>
      </w:r>
      <w:r w:rsidRPr="00C00CAB">
        <w:t>cours) qui organisent et surveillent le fonctionnement libre et concurrentiel des marchés privés, les acteurs économiques sont devenus de plus en plus dépendants des orientations de la régulation publique</w:t>
      </w:r>
      <w:r>
        <w:t>,</w:t>
      </w:r>
      <w:r w:rsidRPr="00C00CAB">
        <w:t xml:space="preserve"> mais aussi des subventions et des investissements massifs qui orientent aujourd’hui la transition écologique et digitale (</w:t>
      </w:r>
      <w:r w:rsidRPr="00C00CAB">
        <w:rPr>
          <w:i/>
          <w:iCs/>
        </w:rPr>
        <w:t>Green New Deal</w:t>
      </w:r>
      <w:r w:rsidRPr="00C00CAB">
        <w:t xml:space="preserve">, Plans de relance, etc.). Parce qu’elle gouverne un marché de 450 millions de consommateurs et 22 millions d'entreprises, l’Union européenne est une cible privilégiée des stratégies d’influence, qu’elles viennent des grandes entreprises, des groupes d'intérêt les plus divers voire des gouvernements étrangers. Et ce d’autant plus que, par la taille de ce marché et par la concentration de ce pouvoir de régulation, le pôle européen exerce un effet structurant (parfois appelé </w:t>
      </w:r>
      <w:r w:rsidRPr="00C00CAB">
        <w:rPr>
          <w:i/>
          <w:iCs/>
        </w:rPr>
        <w:t xml:space="preserve">Brussels’ </w:t>
      </w:r>
      <w:proofErr w:type="spellStart"/>
      <w:r w:rsidRPr="00C00CAB">
        <w:rPr>
          <w:i/>
          <w:iCs/>
        </w:rPr>
        <w:t>effect</w:t>
      </w:r>
      <w:proofErr w:type="spellEnd"/>
      <w:r w:rsidRPr="00C00CAB">
        <w:t>) sur l’ensemble de l’économie globale, bien au-delà de ses frontières</w:t>
      </w:r>
      <w:r w:rsidRPr="00C00CAB">
        <w:rPr>
          <w:rStyle w:val="Appelnotedebasdep"/>
          <w:rFonts w:ascii="Times New Roman" w:hAnsi="Times New Roman" w:cs="Times New Roman"/>
        </w:rPr>
        <w:footnoteReference w:id="3"/>
      </w:r>
      <w:r w:rsidRPr="00C00CAB">
        <w:t>.</w:t>
      </w:r>
    </w:p>
    <w:p w14:paraId="1697AA64" w14:textId="3546F255" w:rsidR="00AF7093" w:rsidRPr="00AF7093" w:rsidRDefault="00AF7093" w:rsidP="00AF7093">
      <w:pPr>
        <w:pStyle w:val="VDIIntertitre"/>
      </w:pPr>
      <w:r w:rsidRPr="00C00CAB">
        <w:t>Une puissante politique de l’influence</w:t>
      </w:r>
    </w:p>
    <w:p w14:paraId="5370776C" w14:textId="149DBE7D" w:rsidR="00AF7093" w:rsidRPr="00C00CAB" w:rsidRDefault="00AF7093" w:rsidP="00AF7093">
      <w:pPr>
        <w:pStyle w:val="Corps"/>
      </w:pPr>
      <w:r w:rsidRPr="00C00CAB">
        <w:t>De fait, les processus de décision européens sont aujourd’hui soumis dans l’Union européenne à une pression particulièrement forte. Tout</w:t>
      </w:r>
      <w:r>
        <w:t>e</w:t>
      </w:r>
      <w:r w:rsidRPr="00C00CAB">
        <w:t xml:space="preserve"> une industrie de l’intermédiation et de l’influence s'est ainsi développée le long du </w:t>
      </w:r>
      <w:r>
        <w:t>« </w:t>
      </w:r>
      <w:r w:rsidRPr="00C00CAB">
        <w:t>récif corallien</w:t>
      </w:r>
      <w:r>
        <w:t> »</w:t>
      </w:r>
      <w:r>
        <w:rPr>
          <w:rStyle w:val="Appelnotedebasdep"/>
          <w:rFonts w:ascii="Times New Roman" w:hAnsi="Times New Roman" w:cs="Times New Roman"/>
        </w:rPr>
        <w:footnoteReference w:id="4"/>
      </w:r>
      <w:r w:rsidRPr="00C00CAB">
        <w:t xml:space="preserve"> qui va des capitales européennes à Bruxelles</w:t>
      </w:r>
      <w:r w:rsidRPr="00C00CAB">
        <w:rPr>
          <w:rStyle w:val="Appelnotedebasdep"/>
          <w:rFonts w:ascii="Times New Roman" w:hAnsi="Times New Roman" w:cs="Times New Roman"/>
        </w:rPr>
        <w:footnoteReference w:id="5"/>
      </w:r>
      <w:r>
        <w:t xml:space="preserve"> et</w:t>
      </w:r>
      <w:r w:rsidRPr="00C00CAB">
        <w:t xml:space="preserve"> qui n’a pas cessé d’augmenter au fil du temps en taille, en professionnalisme et en influence politique</w:t>
      </w:r>
      <w:r w:rsidRPr="00C00CAB">
        <w:rPr>
          <w:rStyle w:val="Appelnotedebasdep"/>
          <w:rFonts w:ascii="Times New Roman" w:hAnsi="Times New Roman" w:cs="Times New Roman"/>
        </w:rPr>
        <w:footnoteReference w:id="6"/>
      </w:r>
      <w:r w:rsidRPr="00C00CAB">
        <w:t>. De fait, les travaux universitaires comme le réseau des acteurs de la lutte contre la corruption</w:t>
      </w:r>
      <w:r>
        <w:t>,</w:t>
      </w:r>
      <w:r w:rsidRPr="00C00CAB">
        <w:t xml:space="preserve"> qu’il s’agisse de la médiatrice européenne ou des ONG, ont de longue date documenté la diversité des manières par lesquelles ce champ l’influence et d’intermédiation pèse aujourd’hui sur la prise de décision publique européenne, et ce bien au-delà du seul lobbying : un jeu de « portes </w:t>
      </w:r>
      <w:r>
        <w:t>glissantes</w:t>
      </w:r>
      <w:r w:rsidRPr="00C00CAB">
        <w:t> »</w:t>
      </w:r>
      <w:r>
        <w:t>,</w:t>
      </w:r>
      <w:r w:rsidRPr="00C00CAB">
        <w:t xml:space="preserve"> ou </w:t>
      </w:r>
      <w:proofErr w:type="spellStart"/>
      <w:r>
        <w:rPr>
          <w:i/>
        </w:rPr>
        <w:t>sliding</w:t>
      </w:r>
      <w:proofErr w:type="spellEnd"/>
      <w:r w:rsidRPr="00C00CAB">
        <w:rPr>
          <w:i/>
        </w:rPr>
        <w:t xml:space="preserve"> </w:t>
      </w:r>
      <w:proofErr w:type="spellStart"/>
      <w:r w:rsidRPr="00C00CAB">
        <w:rPr>
          <w:i/>
        </w:rPr>
        <w:t>doors</w:t>
      </w:r>
      <w:proofErr w:type="spellEnd"/>
      <w:r>
        <w:rPr>
          <w:i/>
        </w:rPr>
        <w:t>,</w:t>
      </w:r>
      <w:r w:rsidRPr="00C00CAB">
        <w:t xml:space="preserve"> jalonne l’ensemble des </w:t>
      </w:r>
      <w:r w:rsidRPr="00C00CAB">
        <w:lastRenderedPageBreak/>
        <w:t>institutions de l'UE, enrôlant assistants parlementaires, commissaires, députés européens et hauts fonctionnaires dans une circulation continue entre le régulateur et les régulés</w:t>
      </w:r>
      <w:r w:rsidR="00A0107E">
        <w:rPr>
          <w:rStyle w:val="Appelnotedebasdep"/>
        </w:rPr>
        <w:footnoteReference w:id="7"/>
      </w:r>
      <w:r w:rsidRPr="00C00CAB">
        <w:t> ; un espace de cumul d’activités s’est progressivement développé pour les parlementaires dans les mondes du conseil et de l’expertise</w:t>
      </w:r>
      <w:r>
        <w:rPr>
          <w:rStyle w:val="Appelnotedebasdep"/>
          <w:rFonts w:ascii="Times New Roman" w:hAnsi="Times New Roman" w:cs="Times New Roman"/>
        </w:rPr>
        <w:footnoteReference w:id="8"/>
      </w:r>
      <w:r w:rsidRPr="00C00CAB">
        <w:t> ; une dépendance enfin s’est constituée à l’égard des grandes entreprises quand il s’agit de financer certains espaces clés</w:t>
      </w:r>
      <w:r>
        <w:t>,</w:t>
      </w:r>
      <w:r w:rsidRPr="00C00CAB">
        <w:t xml:space="preserve"> </w:t>
      </w:r>
      <w:r>
        <w:t>que ce soient</w:t>
      </w:r>
      <w:r w:rsidRPr="00C00CAB">
        <w:t xml:space="preserve"> des forums d’expertise technique</w:t>
      </w:r>
      <w:r w:rsidRPr="00C00CAB">
        <w:rPr>
          <w:rStyle w:val="Appelnotedebasdep"/>
          <w:rFonts w:ascii="Times New Roman" w:hAnsi="Times New Roman" w:cs="Times New Roman"/>
        </w:rPr>
        <w:footnoteReference w:id="9"/>
      </w:r>
      <w:r w:rsidRPr="00C00CAB">
        <w:t>, des lieux de délibération politique</w:t>
      </w:r>
      <w:r w:rsidRPr="00C00CAB">
        <w:rPr>
          <w:rStyle w:val="Appelnotedebasdep"/>
          <w:rFonts w:ascii="Times New Roman" w:hAnsi="Times New Roman" w:cs="Times New Roman"/>
        </w:rPr>
        <w:footnoteReference w:id="10"/>
      </w:r>
      <w:r w:rsidR="00A0107E">
        <w:t>,</w:t>
      </w:r>
      <w:r w:rsidRPr="00C00CAB">
        <w:t xml:space="preserve"> voire, plus surprenant encore, des présidences du Conseil de l’Union par les divers États membres</w:t>
      </w:r>
      <w:r w:rsidRPr="00C00CAB">
        <w:rPr>
          <w:rStyle w:val="Appelnotedebasdep"/>
          <w:rFonts w:ascii="Times New Roman" w:hAnsi="Times New Roman" w:cs="Times New Roman"/>
        </w:rPr>
        <w:footnoteReference w:id="11"/>
      </w:r>
      <w:r w:rsidRPr="00C00CAB">
        <w:t>. Si rien de tout cela n’est illégal en soi, ces pratiques bien ancrées dans le champ du pouvoir européen sont particulièrement propices à l’apparition d’un ensemble de risques (de conflits d'intérêts, de capture, de corruption</w:t>
      </w:r>
      <w:r>
        <w:t xml:space="preserve">) </w:t>
      </w:r>
      <w:r w:rsidRPr="00C00CAB">
        <w:t xml:space="preserve">qui, mis bout à bout, forment un </w:t>
      </w:r>
      <w:r w:rsidRPr="00C00CAB">
        <w:rPr>
          <w:i/>
          <w:iCs/>
        </w:rPr>
        <w:t>continuum de menaces</w:t>
      </w:r>
      <w:r w:rsidRPr="00C00CAB">
        <w:rPr>
          <w:b/>
          <w:bCs/>
        </w:rPr>
        <w:t xml:space="preserve"> </w:t>
      </w:r>
      <w:r w:rsidRPr="00C00CAB">
        <w:t>permettant à certains intérêts privés (grandes entreprises, groupes d'intérêts, voire États tiers, etc.) de peser de manière disproportionnée sur les processus décisionnels de l'UE.</w:t>
      </w:r>
    </w:p>
    <w:p w14:paraId="4EF8EAB8" w14:textId="77777777" w:rsidR="000C6775" w:rsidRDefault="00AF7093" w:rsidP="00AF7093">
      <w:pPr>
        <w:pStyle w:val="Corps"/>
      </w:pPr>
      <w:r w:rsidRPr="00C00CAB">
        <w:t xml:space="preserve">La chose est d’autant plus préoccupante que l’Union européenne apparaît particulièrement vulnérable aux stratégies d’influence. On l’a dit, celle-ci s’est constituée historiquement autour du grand projet du Marché unique et, tout à cette entreprise monumentale sans cesse relancée, la Commission européenne et à moindre titre le Parlement européen, ont noué avec les entreprises et leurs groupes d’intérêt un partenariat étroit. Au fil de la montée en puissance du pouvoir régulateur européen, ces derniers sont en effet devenus les interlocuteurs privilégiés de la petite bureaucratie bruxelloise de la Commission européenne en quête d’expertise des secteurs économiques, en même temps que ses alliés stratégiques dans la constitution d’une autorité politique vis-à-vis des </w:t>
      </w:r>
      <w:r>
        <w:t>État</w:t>
      </w:r>
      <w:r w:rsidRPr="00C00CAB">
        <w:t xml:space="preserve">s membres. </w:t>
      </w:r>
    </w:p>
    <w:p w14:paraId="1A76036B" w14:textId="6044EB04" w:rsidR="00AF7093" w:rsidRPr="00C00CAB" w:rsidRDefault="00AF7093" w:rsidP="00AF7093">
      <w:pPr>
        <w:pStyle w:val="Corps"/>
      </w:pPr>
      <w:r>
        <w:lastRenderedPageBreak/>
        <w:t>À</w:t>
      </w:r>
      <w:r w:rsidRPr="00C00CAB">
        <w:t xml:space="preserve"> cette relation symbiotique qui n’a été que partiellement perturbée par l’entrée du Parlement européen dans le jeu législatif, s’ajoute la faiblesse structurelle de la « société civile » de l’UE, qui sape la capacité de mobilisation des citoyens européens face aux scandales. Faute de médias d’échelle européenne qui pourraient faire apparaître les intérêts d’un « public européen », le petit groupe des ONG spécialisées dans le domaine de l’éthique publique (</w:t>
      </w:r>
      <w:proofErr w:type="spellStart"/>
      <w:r w:rsidRPr="00C00CAB">
        <w:rPr>
          <w:i/>
          <w:iCs/>
        </w:rPr>
        <w:t>Corporate</w:t>
      </w:r>
      <w:proofErr w:type="spellEnd"/>
      <w:r w:rsidRPr="00C00CAB">
        <w:rPr>
          <w:i/>
          <w:iCs/>
        </w:rPr>
        <w:t xml:space="preserve"> </w:t>
      </w:r>
      <w:proofErr w:type="spellStart"/>
      <w:r w:rsidRPr="00C00CAB">
        <w:rPr>
          <w:i/>
          <w:iCs/>
        </w:rPr>
        <w:t>European</w:t>
      </w:r>
      <w:proofErr w:type="spellEnd"/>
      <w:r w:rsidRPr="00C00CAB">
        <w:rPr>
          <w:i/>
          <w:iCs/>
        </w:rPr>
        <w:t xml:space="preserve"> </w:t>
      </w:r>
      <w:proofErr w:type="spellStart"/>
      <w:r w:rsidRPr="00C00CAB">
        <w:rPr>
          <w:i/>
          <w:iCs/>
        </w:rPr>
        <w:t>Observatory</w:t>
      </w:r>
      <w:proofErr w:type="spellEnd"/>
      <w:r w:rsidRPr="00C00CAB">
        <w:t xml:space="preserve">, </w:t>
      </w:r>
      <w:proofErr w:type="spellStart"/>
      <w:r w:rsidRPr="00C00CAB">
        <w:rPr>
          <w:i/>
          <w:iCs/>
        </w:rPr>
        <w:t>Transparency</w:t>
      </w:r>
      <w:proofErr w:type="spellEnd"/>
      <w:r w:rsidRPr="00C00CAB">
        <w:rPr>
          <w:i/>
          <w:iCs/>
        </w:rPr>
        <w:t xml:space="preserve"> International</w:t>
      </w:r>
      <w:r w:rsidRPr="00C00CAB">
        <w:t xml:space="preserve">, </w:t>
      </w:r>
      <w:r w:rsidRPr="00C00CAB">
        <w:rPr>
          <w:i/>
          <w:iCs/>
        </w:rPr>
        <w:t>Follow the Money</w:t>
      </w:r>
      <w:r w:rsidRPr="00C00CAB">
        <w:t>, etc.) para</w:t>
      </w:r>
      <w:r>
        <w:t>î</w:t>
      </w:r>
      <w:r w:rsidRPr="00C00CAB">
        <w:t>t bien isolé dans la « bulle bruxelloise</w:t>
      </w:r>
      <w:r>
        <w:t> </w:t>
      </w:r>
      <w:r w:rsidRPr="00C00CAB">
        <w:t>» et tout indique que leur capacité à peser sur l’agenda politique reste limitée. Si les scandales de corruption leur ouvrent bien de loin en loin des fenêtres d’opportunité, ce n’est que de courte durée</w:t>
      </w:r>
      <w:r>
        <w:t>,</w:t>
      </w:r>
      <w:r w:rsidRPr="00C00CAB">
        <w:t xml:space="preserve"> comme l’a montré le </w:t>
      </w:r>
      <w:proofErr w:type="spellStart"/>
      <w:r w:rsidRPr="00C00CAB">
        <w:t>Qatargate</w:t>
      </w:r>
      <w:proofErr w:type="spellEnd"/>
      <w:r w:rsidRPr="00C00CAB">
        <w:t xml:space="preserve"> qui n’a suscité qu’une attention éphémère</w:t>
      </w:r>
      <w:r>
        <w:t>,</w:t>
      </w:r>
      <w:r w:rsidRPr="00C00CAB">
        <w:t xml:space="preserve"> à l’exclusion des médias des pays « directement » concernés du fait de la nationalité des accusés (Belgique, Grèce, Italie).</w:t>
      </w:r>
    </w:p>
    <w:p w14:paraId="5ECA328D" w14:textId="55E72B22" w:rsidR="00AF7093" w:rsidRDefault="00AF7093" w:rsidP="00AF7093">
      <w:pPr>
        <w:pStyle w:val="VDIIntertitre"/>
      </w:pPr>
      <w:bookmarkStart w:id="1" w:name="_Toc141873867"/>
      <w:bookmarkStart w:id="2" w:name="_Toc144735143"/>
      <w:r w:rsidRPr="00C00CAB">
        <w:t>Une culture institutionnelle permissive</w:t>
      </w:r>
      <w:bookmarkEnd w:id="1"/>
      <w:bookmarkEnd w:id="2"/>
    </w:p>
    <w:p w14:paraId="3F37B7B3" w14:textId="09F207FA" w:rsidR="007365CD" w:rsidRDefault="00AF7093" w:rsidP="000C6775">
      <w:pPr>
        <w:pStyle w:val="Corps"/>
      </w:pPr>
      <w:r w:rsidRPr="00C00CAB">
        <w:t>Mais il y a plus</w:t>
      </w:r>
      <w:r>
        <w:t> :</w:t>
      </w:r>
      <w:r w:rsidRPr="00C00CAB">
        <w:t xml:space="preserve"> le </w:t>
      </w:r>
      <w:proofErr w:type="spellStart"/>
      <w:r w:rsidRPr="00C00CAB">
        <w:t>Qatargate</w:t>
      </w:r>
      <w:proofErr w:type="spellEnd"/>
      <w:r w:rsidRPr="00C00CAB">
        <w:t xml:space="preserve"> a révélé une culture institutionnelle « permissive</w:t>
      </w:r>
      <w:r w:rsidR="000C6775">
        <w:t> </w:t>
      </w:r>
      <w:r w:rsidRPr="00C00CAB">
        <w:t xml:space="preserve">» qui vient s’ajouter à l’état général de vulnérabilité des processus de décisions européens décrit jusqu’ici. </w:t>
      </w:r>
      <w:r>
        <w:t>Ce n’est pas seulement que les puissants pôles économiques des institutions européennes (Direction générale de Concurrence, du Marché intérieur, etc.) sont historiquement sensibles et réceptifs aux stratégies d’influence des grands groupes et de leurs conseils (avocats, lobbyistes, etc.), au nom de la compétitivité et de l’attractivité du Marché intérieur dont ils se posent en garants</w:t>
      </w:r>
      <w:r>
        <w:rPr>
          <w:rStyle w:val="Appelnotedebasdep"/>
          <w:rFonts w:ascii="Times New Roman" w:hAnsi="Times New Roman" w:cs="Times New Roman"/>
        </w:rPr>
        <w:footnoteReference w:id="12"/>
      </w:r>
      <w:r>
        <w:t>. C’est aussi que monte dans l’administration européenne depuis la réforme néo-managériale de son organisation et de son recrutement du début des années 2000, de nouveaux profils plus fréquemment passés par le secteur privé que leurs a</w:t>
      </w:r>
      <w:r w:rsidR="00227427">
        <w:t>î</w:t>
      </w:r>
      <w:r>
        <w:t>nés et moins prompts à voir dans les aller-retour un risque de conflit d’intérêt</w:t>
      </w:r>
      <w:r w:rsidR="00227427">
        <w:t>s</w:t>
      </w:r>
      <w:r>
        <w:rPr>
          <w:rStyle w:val="Appelnotedebasdep"/>
          <w:rFonts w:ascii="Times New Roman" w:hAnsi="Times New Roman" w:cs="Times New Roman"/>
        </w:rPr>
        <w:footnoteReference w:id="13"/>
      </w:r>
      <w:r>
        <w:t xml:space="preserve">, voire considérant ces mobilités comme un plus </w:t>
      </w:r>
      <w:r w:rsidR="00A0107E">
        <w:t>–</w:t>
      </w:r>
      <w:r>
        <w:t xml:space="preserve"> comme l’a montré en juillet 2023 l’affaire de la nomination (finalement </w:t>
      </w:r>
      <w:r>
        <w:lastRenderedPageBreak/>
        <w:t xml:space="preserve">avortée) de la professeure américaine et consultante multi-casquette Fiona Scott Morton comme </w:t>
      </w:r>
      <w:r w:rsidRPr="008D7FF1">
        <w:rPr>
          <w:i/>
          <w:iCs/>
        </w:rPr>
        <w:t>Chief Economist</w:t>
      </w:r>
      <w:r>
        <w:t xml:space="preserve"> de la Direction générale de la Concurrence</w:t>
      </w:r>
      <w:r>
        <w:rPr>
          <w:rStyle w:val="Appelnotedebasdep"/>
          <w:rFonts w:ascii="Times New Roman" w:hAnsi="Times New Roman" w:cs="Times New Roman"/>
        </w:rPr>
        <w:footnoteReference w:id="14"/>
      </w:r>
      <w:r>
        <w:t>. En somme, loin d’être une citadelle assiégée que viendraient menacer « de l’extérieur » les stratégies d’influence des grands groupes, la Commission participe également d</w:t>
      </w:r>
      <w:r w:rsidRPr="00C00CAB">
        <w:t xml:space="preserve">e </w:t>
      </w:r>
      <w:r>
        <w:t xml:space="preserve">la </w:t>
      </w:r>
      <w:r w:rsidRPr="00C00CAB">
        <w:t xml:space="preserve">sous-estimation </w:t>
      </w:r>
      <w:r>
        <w:t xml:space="preserve">structurelle </w:t>
      </w:r>
      <w:r w:rsidRPr="00C00CAB">
        <w:t xml:space="preserve">des </w:t>
      </w:r>
      <w:r>
        <w:t>enjeux d’éthique publique. Ce</w:t>
      </w:r>
      <w:r w:rsidRPr="00C00CAB">
        <w:t xml:space="preserve"> défaut de vigilance diffus au sein des institutions de l'UE se manifeste</w:t>
      </w:r>
      <w:r>
        <w:t xml:space="preserve"> </w:t>
      </w:r>
      <w:r w:rsidRPr="00C00CAB">
        <w:t xml:space="preserve">dans une préférence générale pour des règles déontologiques non contraignantes (la </w:t>
      </w:r>
      <w:r w:rsidRPr="00C00CAB">
        <w:rPr>
          <w:i/>
          <w:iCs/>
        </w:rPr>
        <w:t xml:space="preserve">soft </w:t>
      </w:r>
      <w:proofErr w:type="spellStart"/>
      <w:r w:rsidRPr="00C00CAB">
        <w:rPr>
          <w:i/>
          <w:iCs/>
        </w:rPr>
        <w:t>law</w:t>
      </w:r>
      <w:proofErr w:type="spellEnd"/>
      <w:r w:rsidRPr="00C00CAB">
        <w:t xml:space="preserve"> des chartes et codes de conduite), des comités d’éthique</w:t>
      </w:r>
      <w:r w:rsidRPr="00C00CAB">
        <w:rPr>
          <w:i/>
          <w:iCs/>
        </w:rPr>
        <w:t xml:space="preserve"> consultatifs</w:t>
      </w:r>
      <w:r w:rsidRPr="00C00CAB">
        <w:t xml:space="preserve"> privés </w:t>
      </w:r>
      <w:r w:rsidRPr="00C00CAB">
        <w:rPr>
          <w:color w:val="191919"/>
        </w:rPr>
        <w:t xml:space="preserve">de véritables pouvoirs d'enquête ou de décision, et des </w:t>
      </w:r>
      <w:r w:rsidRPr="00C00CAB">
        <w:t>formes d'auto-régulation profondément ancrées dans chacune des institutions qu’il s’agisse de la Commission, le Parlement, la Banque centrale européenne, etc.</w:t>
      </w:r>
    </w:p>
    <w:p w14:paraId="055FD0F3" w14:textId="199689F8" w:rsidR="00AF7093" w:rsidRPr="000C6775" w:rsidRDefault="00AF7093" w:rsidP="000C6775">
      <w:pPr>
        <w:pStyle w:val="Corps"/>
        <w:rPr>
          <w:color w:val="191919"/>
        </w:rPr>
      </w:pPr>
      <w:r w:rsidRPr="00C00CAB">
        <w:t xml:space="preserve">Le Comité d’éthique </w:t>
      </w:r>
      <w:r w:rsidRPr="008D7FF1">
        <w:rPr>
          <w:i/>
          <w:iCs/>
        </w:rPr>
        <w:t>ad hoc</w:t>
      </w:r>
      <w:r w:rsidRPr="00C00CAB">
        <w:t xml:space="preserve"> de la Commission</w:t>
      </w:r>
      <w:r>
        <w:t xml:space="preserve">, créé en 2003 </w:t>
      </w:r>
      <w:r w:rsidRPr="00C00CAB">
        <w:t xml:space="preserve">en est un exemple notable. </w:t>
      </w:r>
      <w:r>
        <w:t xml:space="preserve">Renommé comité d’éthique indépendant en 2018, cet organe </w:t>
      </w:r>
      <w:r w:rsidRPr="00C00CAB">
        <w:t>examine l’emploi postérieur à une charge publique</w:t>
      </w:r>
      <w:r w:rsidRPr="00C00CAB">
        <w:rPr>
          <w:color w:val="191919"/>
        </w:rPr>
        <w:t xml:space="preserve"> (pour faire suite au pantouflage de l’ancien président de la Commission Manuel Barroso chez Goldman Sachs)</w:t>
      </w:r>
      <w:r w:rsidRPr="00C00CAB">
        <w:t>, il a fait preuve d’une efficacité limitée et semble être devenu davantage un outil de protection de la réputation de la Commission qu’un instrument de contrôle solide</w:t>
      </w:r>
      <w:r w:rsidRPr="00C00CAB">
        <w:rPr>
          <w:rStyle w:val="Appelnotedebasdep"/>
          <w:rFonts w:ascii="Times New Roman" w:hAnsi="Times New Roman" w:cs="Times New Roman"/>
          <w:color w:val="000000" w:themeColor="text1"/>
        </w:rPr>
        <w:footnoteReference w:id="15"/>
      </w:r>
      <w:r w:rsidRPr="00C00CAB">
        <w:t>, le nombre d’avis d’incompatibilité étant remarquablement faible et le Comité faisant preuve d'une extrême prudence dans le contrôle de l'application de ses propres avis, au nom de la nécessité de protéger la vie privée et la réputation des entreprises recrutant les anciens commissaires.</w:t>
      </w:r>
      <w:r w:rsidRPr="00C00CAB">
        <w:rPr>
          <w:color w:val="191919"/>
        </w:rPr>
        <w:t xml:space="preserve"> </w:t>
      </w:r>
    </w:p>
    <w:p w14:paraId="47DFBE89" w14:textId="77777777" w:rsidR="00AF7093" w:rsidRPr="00C00CAB" w:rsidRDefault="00AF7093" w:rsidP="000C6775">
      <w:pPr>
        <w:pStyle w:val="Corps"/>
      </w:pPr>
      <w:r w:rsidRPr="00C00CAB">
        <w:t>Au-delà, le public</w:t>
      </w:r>
      <w:r>
        <w:t xml:space="preserve"> </w:t>
      </w:r>
      <w:r w:rsidRPr="00C00CAB">
        <w:t xml:space="preserve">a découvert à l’occasion du </w:t>
      </w:r>
      <w:proofErr w:type="spellStart"/>
      <w:r w:rsidRPr="00C00CAB">
        <w:t>Qatargate</w:t>
      </w:r>
      <w:proofErr w:type="spellEnd"/>
      <w:r w:rsidRPr="00C00CAB">
        <w:t xml:space="preserve"> la faiblesse à l’échelle européenne de l’arsenal pénal, dont on sait pourtant qu’il est le levier privilégié </w:t>
      </w:r>
      <w:r>
        <w:t>qui assure aux</w:t>
      </w:r>
      <w:r w:rsidRPr="00C00CAB">
        <w:t xml:space="preserve"> sociétés contemporaines la protection de leurs valeurs fondamentales. Le Parquet européen, dont la création en 2021 avait été présentée comme l’acte de naissance d’un espace pénal européen, s’est avéré incompétent (au sens juridique du terme) pour poursuivre les personnes mises en cause dans le </w:t>
      </w:r>
      <w:proofErr w:type="spellStart"/>
      <w:r w:rsidRPr="00C00CAB">
        <w:t>Qatargate</w:t>
      </w:r>
      <w:proofErr w:type="spellEnd"/>
      <w:r w:rsidRPr="00C00CAB">
        <w:t xml:space="preserve"> puisque son mandat se limite à la seule protection des intérêts </w:t>
      </w:r>
      <w:r w:rsidRPr="00C00CAB">
        <w:rPr>
          <w:i/>
          <w:iCs/>
        </w:rPr>
        <w:t>financiers</w:t>
      </w:r>
      <w:r w:rsidRPr="00C00CAB">
        <w:t xml:space="preserve"> de l'UE tandis que les autres intérêts publics de l’UE, tels que l’intégrité du processus décisionnel public </w:t>
      </w:r>
      <w:r w:rsidRPr="00C00CAB">
        <w:lastRenderedPageBreak/>
        <w:t xml:space="preserve">européen, échappent à sa compétence... </w:t>
      </w:r>
      <w:r>
        <w:t>À</w:t>
      </w:r>
      <w:r w:rsidRPr="00C00CAB">
        <w:t xml:space="preserve"> défaut, il a fallu que ce soit des juges d'instruction ou procureurs belges, italiens et grecs qui mènent l’enquête et engagent de ce fait des procédures plus complexes, plus longues</w:t>
      </w:r>
      <w:r>
        <w:t>,</w:t>
      </w:r>
      <w:r w:rsidRPr="00C00CAB">
        <w:t xml:space="preserve"> mais aussi de ce fait plus vulnérables aux tactiques dilatoires des avocats, que celles que nous aurions connues dans le cadre d'un système répressif européen offrant une protection complète des intérêts publics européens. </w:t>
      </w:r>
    </w:p>
    <w:p w14:paraId="4D571DEB" w14:textId="35893209" w:rsidR="00AF7093" w:rsidRPr="00C00CAB" w:rsidRDefault="00AF7093" w:rsidP="00AF7093">
      <w:pPr>
        <w:pStyle w:val="VDIIntertitre"/>
      </w:pPr>
      <w:r w:rsidRPr="00C00CAB">
        <w:t>Un nouvel « art de la séparation »</w:t>
      </w:r>
      <w:bookmarkStart w:id="3" w:name="_Toc141873872"/>
      <w:bookmarkStart w:id="4" w:name="_Toc144735148"/>
      <w:bookmarkStart w:id="5" w:name="_Toc141873873"/>
    </w:p>
    <w:p w14:paraId="4A3922CA" w14:textId="0175E008" w:rsidR="00AF7093" w:rsidRPr="00C00CAB" w:rsidRDefault="00AF7093" w:rsidP="000C6775">
      <w:pPr>
        <w:pStyle w:val="Corps"/>
      </w:pPr>
      <w:r w:rsidRPr="00C00CAB">
        <w:t>Sans doute n’est-il pas possible de défaire, par la seule efficacité d’une combinaison d’outils institutionnels, un système collusif qui s'est consolidé au fil des décennies. Reste que l’UE s’est jusqu’ici montrée bien peu ambitieuse dans l’examen de solutions qui viendraient dépasser sa préférence habituelle pour les outils de la transparence, les instruments juridiques non contraignants (</w:t>
      </w:r>
      <w:r w:rsidRPr="00C00CAB">
        <w:rPr>
          <w:i/>
          <w:iCs/>
        </w:rPr>
        <w:t xml:space="preserve">soft </w:t>
      </w:r>
      <w:proofErr w:type="spellStart"/>
      <w:r w:rsidRPr="00C00CAB">
        <w:rPr>
          <w:i/>
          <w:iCs/>
        </w:rPr>
        <w:t>law</w:t>
      </w:r>
      <w:proofErr w:type="spellEnd"/>
      <w:r w:rsidRPr="00C00CAB">
        <w:t>) et l’</w:t>
      </w:r>
      <w:proofErr w:type="spellStart"/>
      <w:r w:rsidRPr="00C00CAB">
        <w:t>auto-régulation</w:t>
      </w:r>
      <w:proofErr w:type="spellEnd"/>
      <w:r w:rsidRPr="00C00CAB">
        <w:t xml:space="preserve">. Et si le </w:t>
      </w:r>
      <w:proofErr w:type="spellStart"/>
      <w:r w:rsidRPr="00C00CAB">
        <w:t>Qatargate</w:t>
      </w:r>
      <w:proofErr w:type="spellEnd"/>
      <w:r w:rsidRPr="00C00CAB">
        <w:t xml:space="preserve"> a été suivi d’un ensemble de réformes déontologiques, notamment du côté du Parlement, elles tiennent plus à ce stade des « lois de panique » apportant par des solutions institutionnelles </w:t>
      </w:r>
      <w:r w:rsidRPr="00C00CAB">
        <w:rPr>
          <w:i/>
          <w:iCs/>
        </w:rPr>
        <w:t>ad hoc</w:t>
      </w:r>
      <w:r w:rsidRPr="00C00CAB">
        <w:t xml:space="preserve"> à certains des symptômes qu’elles ne répondent véritablement aux</w:t>
      </w:r>
      <w:r w:rsidRPr="00C00CAB">
        <w:rPr>
          <w:color w:val="191919"/>
        </w:rPr>
        <w:t xml:space="preserve"> nombreuses alertes formulées notamment par la Médiatrice Emily </w:t>
      </w:r>
      <w:proofErr w:type="spellStart"/>
      <w:r w:rsidRPr="00C00CAB">
        <w:rPr>
          <w:color w:val="191919"/>
        </w:rPr>
        <w:t>O’Reilly</w:t>
      </w:r>
      <w:proofErr w:type="spellEnd"/>
      <w:r w:rsidRPr="00C00CAB">
        <w:t xml:space="preserve"> quant à la nature systémique de l’enjeu.</w:t>
      </w:r>
    </w:p>
    <w:p w14:paraId="349142E5" w14:textId="222042DD" w:rsidR="00AF7093" w:rsidRPr="00AF7093" w:rsidRDefault="00AF7093" w:rsidP="00AF7093">
      <w:pPr>
        <w:pStyle w:val="VDIIntertitre"/>
        <w:rPr>
          <w:shd w:val="clear" w:color="auto" w:fill="FFFFFF"/>
        </w:rPr>
      </w:pPr>
      <w:bookmarkStart w:id="6" w:name="_Toc141873874"/>
      <w:bookmarkStart w:id="7" w:name="_Toc144735150"/>
      <w:bookmarkEnd w:id="3"/>
      <w:bookmarkEnd w:id="4"/>
      <w:bookmarkEnd w:id="5"/>
      <w:r w:rsidRPr="00C00CAB">
        <w:rPr>
          <w:shd w:val="clear" w:color="auto" w:fill="FFFFFF"/>
        </w:rPr>
        <w:t xml:space="preserve">Identifier les intérêts lésés </w:t>
      </w:r>
      <w:bookmarkEnd w:id="6"/>
      <w:r w:rsidRPr="00C00CAB">
        <w:rPr>
          <w:shd w:val="clear" w:color="auto" w:fill="FFFFFF"/>
        </w:rPr>
        <w:t>de la société européenne</w:t>
      </w:r>
      <w:bookmarkEnd w:id="7"/>
    </w:p>
    <w:p w14:paraId="43C02362" w14:textId="77777777" w:rsidR="00AF7093" w:rsidRPr="00C00CAB" w:rsidRDefault="00AF7093" w:rsidP="000C6775">
      <w:pPr>
        <w:pStyle w:val="Corps"/>
      </w:pPr>
      <w:r w:rsidRPr="00C00CAB">
        <w:t xml:space="preserve">Il faut dire que la démocratie européenne reste opaque à elle-même et qu’elle peine à connaître ce qui se trame à ses frontières au-delà d’un </w:t>
      </w:r>
      <w:r>
        <w:t xml:space="preserve">savoir </w:t>
      </w:r>
      <w:r w:rsidRPr="00C00CAB">
        <w:t>fragmenté. Ce défaut de connaissance n’est pas seulement problématique en ce qu’il empêche d’apprécier l'ampleur et la gravité des risques qui pèsent sur les processus de décision européens et de sensibiliser le public européen à l’importance qu’il y a à protéger la démocratie dans l’UE ; mais aussi parce qu’il permet à toutes sortes de récits démagogiques (sur le mode du « tous pourris ») de prospérer et de délégitimer les institutions européennes dans leur totalité. D'où l’utilité qu’il y aurait à construire</w:t>
      </w:r>
      <w:r>
        <w:t xml:space="preserve">, au niveau européen, </w:t>
      </w:r>
      <w:r w:rsidRPr="00C00CAB">
        <w:t xml:space="preserve">un Observatoire de l'intégrité de la démocratie, permanent et indépendant, et doté (sur le modèle de l’Observatoire européen de la fiscalité aujourd’hui par Gabriel </w:t>
      </w:r>
      <w:proofErr w:type="spellStart"/>
      <w:r w:rsidRPr="00C00CAB">
        <w:t>Zucman</w:t>
      </w:r>
      <w:proofErr w:type="spellEnd"/>
      <w:r w:rsidRPr="00C00CAB">
        <w:t xml:space="preserve">) d'un large mandat permettant de construire les </w:t>
      </w:r>
      <w:r w:rsidRPr="00C00CAB">
        <w:lastRenderedPageBreak/>
        <w:t xml:space="preserve">méthodologies et d’accumuler les connaissances relatives aux menaces systémiques et aux réseaux d'intérêts qui pèsent sur le fonctionnement de la démocratie européenne (portes tournantes, sous-traitance de l'UE à des sociétés de conseil, commande publique européenne, dépenses de lobbying, etc.). </w:t>
      </w:r>
    </w:p>
    <w:p w14:paraId="31F36E90" w14:textId="2E56A669" w:rsidR="00AF7093" w:rsidRPr="00C00CAB" w:rsidRDefault="00AF7093" w:rsidP="000C6775">
      <w:pPr>
        <w:pStyle w:val="Corps"/>
      </w:pPr>
      <w:r w:rsidRPr="00C00CAB">
        <w:t xml:space="preserve">Un tel Observatoire permettrait également de mieux évaluer les coûts des conflits d'intérêts et de la corruption. Jusqu’ici, ces coûts ont été le plus souvent analysés sous l’angle de l’atteinte portée à la « réputation » des différentes institutions de l'UE (la Commission ou le Parlement) ou des personnes concernées (députés européens, commissaires et hauts fonctionnaires) – sans voir l’atteinte globale et diffuse portée à l’ensemble de la démocratie européenne. Or, les conflits d'intérêts et la corruption sapent avant tout l'idée même de citoyenneté et sa promesse d'égalité devant la loi qui est censée imprégner l’ensemble du fonctionnement des institutions publiques européennes : accès égal aux droits, aux fonctions publiques, distribution juste et transparente de l'argent public, participation égale aux décisions publiques. </w:t>
      </w:r>
      <w:r>
        <w:t>Si on les juge à l’aune de</w:t>
      </w:r>
      <w:r w:rsidRPr="00C00CAB">
        <w:t xml:space="preserve"> la promesse égalitaire qui est au cœur de la démocratie</w:t>
      </w:r>
      <w:r w:rsidRPr="00C00CAB">
        <w:rPr>
          <w:rStyle w:val="Appelnotedebasdep"/>
          <w:rFonts w:ascii="Times New Roman" w:hAnsi="Times New Roman" w:cs="Times New Roman"/>
        </w:rPr>
        <w:footnoteReference w:id="16"/>
      </w:r>
      <w:r w:rsidRPr="00C00CAB">
        <w:t>, les pratiques corruptives et collusoires entra</w:t>
      </w:r>
      <w:r>
        <w:t>î</w:t>
      </w:r>
      <w:r w:rsidRPr="00C00CAB">
        <w:t xml:space="preserve">nent encore un coût collectif </w:t>
      </w:r>
      <w:r w:rsidRPr="00C00CAB">
        <w:rPr>
          <w:i/>
          <w:iCs/>
        </w:rPr>
        <w:t>à long terme</w:t>
      </w:r>
      <w:r w:rsidRPr="00C00CAB">
        <w:t xml:space="preserve"> pour la société européenne elle-même. Les scandales qui jalonnent l’histoire de l’UE se paient en effet d’une moindre légitimité de ses institutions et, par conséquent, d’une moindre capacité à prendre en charge et à résoudre, à l’avenir, les problèmes d’échelle européenne auxquels nous faisons collectivement face (guerre et paix, destruction écologique, montée des inégalités, etc.), pour lesquels des institutions publiques solides, fiables et légitimes sont nécessaires. De ce point de vue, c’est l’ensemble des citoyens de l'UE qui sont les victimes diffuses de ces pratiques corruptives et collusives. </w:t>
      </w:r>
    </w:p>
    <w:p w14:paraId="1246401D" w14:textId="6E77BA6C" w:rsidR="00AF7093" w:rsidRPr="000C6775" w:rsidRDefault="00AF7093" w:rsidP="000C6775">
      <w:pPr>
        <w:pStyle w:val="VDIIntertitre"/>
      </w:pPr>
      <w:r w:rsidRPr="00C00CAB">
        <w:t>Des limites de la transparence à la protection pénale de la démocratie européenne</w:t>
      </w:r>
    </w:p>
    <w:p w14:paraId="781418ED" w14:textId="77777777" w:rsidR="000C6775" w:rsidRDefault="00AF7093" w:rsidP="00AF7093">
      <w:pPr>
        <w:pStyle w:val="Corps"/>
      </w:pPr>
      <w:r w:rsidRPr="00C00CAB">
        <w:t>Si on se tourne maintenant vers la bo</w:t>
      </w:r>
      <w:r>
        <w:t>î</w:t>
      </w:r>
      <w:r w:rsidRPr="00C00CAB">
        <w:t xml:space="preserve">te à outils institutionnels, il faut bien dire que c’est l’arsenal de la transparence qui s’est imposé comme le principal outil de lutte contre les conflits d'intérêts et la corruption avec l’idée que les obligations de transparence qui pèsent sur les acteurs publics et privés de la décision européenne constitueront une incitation suffisamment forte pour engager une dynamique </w:t>
      </w:r>
      <w:r w:rsidRPr="00C00CAB">
        <w:lastRenderedPageBreak/>
        <w:t>vertueuse et transformer les comportements</w:t>
      </w:r>
      <w:r>
        <w:rPr>
          <w:rStyle w:val="Appelnotedebasdep"/>
          <w:rFonts w:ascii="Times New Roman" w:hAnsi="Times New Roman" w:cs="Times New Roman"/>
          <w:color w:val="191919"/>
        </w:rPr>
        <w:footnoteReference w:id="17"/>
      </w:r>
      <w:r w:rsidRPr="00C00CAB">
        <w:t>. Il ne s’agit pas bien sûr de dénier la valeur démocratique de ces politiques de transparence. Mais leur capacité transformatrice dans le domaine de l'éthique publique a été largement exagérée. Ce n’est pas seulement que la transparence totale (« transparence du bocal ») est illusoire et en grande partie irréalisable ; ni que les mesures de transparence ont tendance à générer un « effet de halo » qui déplace les efforts et débats politiques vers l'instrument lui-même (ses failles, son application, etc.) tout en faisant perdre de vue à la fois l'objectif (la protection de l'éthique publique) et les résultats réels. C’est aussi que la transparence n’offre pas une solution globale</w:t>
      </w:r>
      <w:r>
        <w:t> </w:t>
      </w:r>
      <w:r w:rsidRPr="00C00CAB">
        <w:t xml:space="preserve">: elle peut aider à dresser un inventaire de la situation, mais elle ne peut contrecarrer le développement d’une politique de l’influence à la périphérie des institutions européennes ni faire face au caractère systémique des conflits d’intérêts qui fragilisent la démocratie dans l’Union européenne. </w:t>
      </w:r>
    </w:p>
    <w:p w14:paraId="2C165D79" w14:textId="7F118544" w:rsidR="00AF7093" w:rsidRPr="00C00CAB" w:rsidRDefault="00AF7093" w:rsidP="00AF7093">
      <w:pPr>
        <w:pStyle w:val="Corps"/>
      </w:pPr>
      <w:r w:rsidRPr="00C00CAB">
        <w:t>Dans un contexte d’imbrication inédite entre les régulateurs publics, les grandes entreprises et les groupes d'intérêt, il ne suffit pas de rendre les activités de lobbying et d’influence « transparentes », pour échapper aux risques liés aux conflits d’intérêt</w:t>
      </w:r>
      <w:r>
        <w:t>s</w:t>
      </w:r>
      <w:r w:rsidRPr="00C00CAB">
        <w:t xml:space="preserve"> et à la corruption. C’est dire que la proposition de créer un organe d’éthique européen en charge d’assurer le respect des obligations de transparence (sur le patrimoine et les liens d’intérêt), et d</w:t>
      </w:r>
      <w:r w:rsidR="00A0107E">
        <w:t>’</w:t>
      </w:r>
      <w:r w:rsidRPr="00C00CAB">
        <w:t xml:space="preserve">enquêter sur les manquements des députés européens et des commissaires </w:t>
      </w:r>
      <w:r>
        <w:t>semble incomplète</w:t>
      </w:r>
      <w:r w:rsidRPr="00C00CAB">
        <w:t xml:space="preserve">. Il pourrait </w:t>
      </w:r>
      <w:r>
        <w:t xml:space="preserve">certes </w:t>
      </w:r>
      <w:r w:rsidRPr="00C00CAB">
        <w:t xml:space="preserve">utilement contribuer à rationaliser le </w:t>
      </w:r>
      <w:r w:rsidRPr="00C00CAB">
        <w:rPr>
          <w:i/>
          <w:iCs/>
        </w:rPr>
        <w:t xml:space="preserve">patchwork </w:t>
      </w:r>
      <w:r w:rsidRPr="00C00CAB">
        <w:t xml:space="preserve">actuel de l’éthique publique dans l’UE, avec ses nombreuses règles et codes de conduite </w:t>
      </w:r>
      <w:r w:rsidRPr="00C00CAB">
        <w:rPr>
          <w:i/>
          <w:iCs/>
        </w:rPr>
        <w:t>ad hoc</w:t>
      </w:r>
      <w:r w:rsidRPr="00C00CAB">
        <w:t>. Mais l’expérience de la Haute autorité pour la transparence de la vie publique française, aujourd’hui érigée en modèle réformateur à l’échelle européenne</w:t>
      </w:r>
      <w:r w:rsidRPr="00C00CAB">
        <w:rPr>
          <w:rStyle w:val="Appelnotedebasdep"/>
          <w:rFonts w:ascii="Times New Roman" w:hAnsi="Times New Roman" w:cs="Times New Roman"/>
        </w:rPr>
        <w:footnoteReference w:id="18"/>
      </w:r>
      <w:r w:rsidRPr="00C00CAB">
        <w:t>, incite à la prudence, tant son efficacité dans la détection des conflits d’intérêts, mais aussi dans la prise en compte de leur dimension systémique reste incertaine</w:t>
      </w:r>
      <w:r>
        <w:rPr>
          <w:rStyle w:val="Appelnotedebasdep"/>
          <w:rFonts w:ascii="Times New Roman" w:hAnsi="Times New Roman" w:cs="Times New Roman"/>
        </w:rPr>
        <w:footnoteReference w:id="19"/>
      </w:r>
      <w:r w:rsidRPr="00C00CAB">
        <w:t>.</w:t>
      </w:r>
    </w:p>
    <w:p w14:paraId="12067073" w14:textId="77777777" w:rsidR="000C6775" w:rsidRDefault="00AF7093" w:rsidP="00AF7093">
      <w:pPr>
        <w:pStyle w:val="Corps"/>
      </w:pPr>
      <w:r w:rsidRPr="00C00CAB">
        <w:t xml:space="preserve">Mais si c’est bien la « société européenne » qui se trouve aujourd’hui collectivement lésée par l’atteinte à l’intégrité des processus démocratiques dans l’Union, alors c’est bien d’abord du côté de l’arsenal du droit pénal qu’il faut </w:t>
      </w:r>
      <w:r w:rsidRPr="00C00CAB">
        <w:lastRenderedPageBreak/>
        <w:t>aujourd’hui porter le regard</w:t>
      </w:r>
      <w:r w:rsidRPr="00C00CAB">
        <w:rPr>
          <w:rFonts w:eastAsia="Times New Roman"/>
        </w:rPr>
        <w:t xml:space="preserve">. </w:t>
      </w:r>
      <w:r w:rsidRPr="00C00CAB">
        <w:t xml:space="preserve">Pour sa fonction « pédagogique », car il </w:t>
      </w:r>
      <w:r>
        <w:t>conduit</w:t>
      </w:r>
      <w:r w:rsidRPr="00C00CAB">
        <w:t xml:space="preserve"> </w:t>
      </w:r>
      <w:r>
        <w:t xml:space="preserve">à </w:t>
      </w:r>
      <w:r w:rsidRPr="00C00CAB">
        <w:t xml:space="preserve">expliciter les valeurs fondamentales de la société européenne et diffuse une culture de l'intégrité publique non seulement parmi les fonctionnaires, mais aussi parmi les organisations de la société civile et les entreprises. </w:t>
      </w:r>
      <w:r w:rsidRPr="00C00CAB">
        <w:rPr>
          <w:i/>
          <w:iCs/>
        </w:rPr>
        <w:t>A contrario</w:t>
      </w:r>
      <w:r w:rsidRPr="00C00CAB">
        <w:t xml:space="preserve">, l'absence de sanctions pénales marquerait une forme d'indifférence de la société européenne à l’égard des enjeux de probité publique au sein des institutions de l'UE. Mais aussi pour son effet dissuasif, si les sanctions prononcées apparaissent justes et si elles sont proportionnées à la gravité de l’atteinte portée aux valeurs démocratiques. </w:t>
      </w:r>
    </w:p>
    <w:p w14:paraId="710CA2A0" w14:textId="6BB175F0" w:rsidR="00AF7093" w:rsidRPr="00C00CAB" w:rsidRDefault="00AF7093" w:rsidP="00AF7093">
      <w:pPr>
        <w:pStyle w:val="Corps"/>
      </w:pPr>
      <w:r w:rsidRPr="00C00CAB">
        <w:t xml:space="preserve">De ce point de vue, </w:t>
      </w:r>
      <w:r w:rsidRPr="00C00CAB">
        <w:rPr>
          <w:rFonts w:eastAsia="Times New Roman"/>
        </w:rPr>
        <w:t xml:space="preserve">l'adoption d'une </w:t>
      </w:r>
      <w:r w:rsidRPr="00C00CAB">
        <w:rPr>
          <w:rFonts w:eastAsia="Times New Roman"/>
          <w:iCs/>
        </w:rPr>
        <w:t>directive européenne sur la protection pénale de l'intégrité de la démocratie dans le fonctionnement de l’Union européenne viendrait renforcer la protection des dirigeants politiques et administratifs européens</w:t>
      </w:r>
      <w:r w:rsidRPr="00C00CAB">
        <w:rPr>
          <w:rFonts w:eastAsia="Times New Roman"/>
        </w:rPr>
        <w:t>. Les infractions nouvelles pourraient inclure la corruption active et passive, telle que définie dans la convention de l'UE de 1997 sur la corruption, ainsi que le trafic d'influence actif et passif, tel que défini dans la convention pénale de 1999 du Conseil de l'Europe, ou encore les comportements les plus graves résultant de conflits d'intérêts. Au-delà, le renforcement de cette protection pénale par l’</w:t>
      </w:r>
      <w:r w:rsidRPr="00C00CAB">
        <w:rPr>
          <w:rFonts w:eastAsia="Times New Roman"/>
          <w:iCs/>
        </w:rPr>
        <w:t>extension de</w:t>
      </w:r>
      <w:r w:rsidRPr="00C00CAB">
        <w:rPr>
          <w:rFonts w:eastAsia="Times New Roman"/>
        </w:rPr>
        <w:t xml:space="preserve"> la</w:t>
      </w:r>
      <w:r w:rsidRPr="00C00CAB">
        <w:rPr>
          <w:rFonts w:eastAsia="Times New Roman"/>
          <w:iCs/>
        </w:rPr>
        <w:t xml:space="preserve"> compétence de l’OLAF et du Parquet européen</w:t>
      </w:r>
      <w:r w:rsidRPr="00C00CAB">
        <w:rPr>
          <w:rFonts w:eastAsia="Times New Roman"/>
          <w:b/>
          <w:bCs/>
          <w:iCs/>
        </w:rPr>
        <w:t xml:space="preserve"> </w:t>
      </w:r>
      <w:r w:rsidRPr="00C00CAB">
        <w:rPr>
          <w:rFonts w:eastAsia="Times New Roman"/>
          <w:iCs/>
        </w:rPr>
        <w:t xml:space="preserve">aux infractions pénales contre les intérêts </w:t>
      </w:r>
      <w:r w:rsidRPr="00C00CAB">
        <w:rPr>
          <w:rFonts w:eastAsia="Times New Roman"/>
          <w:i/>
          <w:iCs/>
        </w:rPr>
        <w:t>démocratiques</w:t>
      </w:r>
      <w:r w:rsidRPr="00C00CAB">
        <w:rPr>
          <w:rFonts w:eastAsia="Times New Roman"/>
          <w:iCs/>
        </w:rPr>
        <w:t xml:space="preserve"> de l’Union, ces organes n’étant à ce jour qu’habilités à agir qu’en rapport avec les atteintes aux seuls intérêts </w:t>
      </w:r>
      <w:r w:rsidRPr="00C00CAB">
        <w:rPr>
          <w:rFonts w:eastAsia="Times New Roman"/>
          <w:i/>
          <w:iCs/>
        </w:rPr>
        <w:t>financiers</w:t>
      </w:r>
      <w:r w:rsidRPr="00C00CAB">
        <w:rPr>
          <w:rFonts w:eastAsia="Times New Roman"/>
          <w:iCs/>
        </w:rPr>
        <w:t xml:space="preserve"> de l’Union. </w:t>
      </w:r>
    </w:p>
    <w:p w14:paraId="060EBD06" w14:textId="27F07D11" w:rsidR="00EF6195" w:rsidRPr="000C6775" w:rsidRDefault="00AF7093" w:rsidP="000C6775">
      <w:pPr>
        <w:pStyle w:val="Corps"/>
      </w:pPr>
      <w:r w:rsidRPr="00C00CAB">
        <w:t>Mais adopter, comme on le fait ici, le point de vue de la « société européenne » et de ses intérêts lésés emporte une dernière conséquence : le degré de séparation et d’étanchéité entre les sphères publique et privée d’activités tel qu’il se construit au travers des règles en matière de « portes tournantes », de cumuls de fonctions, de prévention des conflits d’intérêts, ne relève pas seulement d’une discussion entre experts, ni d’une simple ingénierie institutionnelle. Si « l’art de la séparation » a inévitablement une dimension technique, il convient d’éviter les pièges de la technicisation. Non pas seulement parce qu</w:t>
      </w:r>
      <w:r w:rsidR="00A0107E">
        <w:t>’</w:t>
      </w:r>
      <w:r w:rsidRPr="00C00CAB">
        <w:t>il n'y a pas de solution miracle (</w:t>
      </w:r>
      <w:proofErr w:type="spellStart"/>
      <w:r w:rsidRPr="00C00CAB">
        <w:rPr>
          <w:i/>
          <w:iCs/>
        </w:rPr>
        <w:t>magic</w:t>
      </w:r>
      <w:proofErr w:type="spellEnd"/>
      <w:r w:rsidRPr="00C00CAB">
        <w:rPr>
          <w:i/>
          <w:iCs/>
        </w:rPr>
        <w:t xml:space="preserve"> </w:t>
      </w:r>
      <w:proofErr w:type="spellStart"/>
      <w:r w:rsidRPr="00C00CAB">
        <w:rPr>
          <w:i/>
          <w:iCs/>
        </w:rPr>
        <w:t>bullet</w:t>
      </w:r>
      <w:proofErr w:type="spellEnd"/>
      <w:r w:rsidRPr="00C00CAB">
        <w:t>) en la matière et que l’ingénierie institutionnelle ne saurait à elle seule résoudre un problème dont on a dit les racines politiques et économiques profondes. Mais surtout parce que le niveau de perméabilité (ou d’étanchéité) entre la sphère des institutions publiques et le secteur privé marchand et, par conséquent, la nature des protections que nous souhaitons collectivement construire autour de la démocratie européenne</w:t>
      </w:r>
      <w:r w:rsidR="00227427">
        <w:t>,</w:t>
      </w:r>
      <w:r w:rsidRPr="00C00CAB">
        <w:t xml:space="preserve"> varient selon les positions politiques des uns et des autres, qu’ils soient </w:t>
      </w:r>
      <w:r w:rsidRPr="00C00CAB">
        <w:lastRenderedPageBreak/>
        <w:t>conservateurs, libéraux, écologistes, sociaux-démocrates, ou gauche « radicale »</w:t>
      </w:r>
      <w:r w:rsidRPr="00C00CAB">
        <w:rPr>
          <w:rStyle w:val="Appelnotedebasdep"/>
          <w:rFonts w:ascii="Times New Roman" w:hAnsi="Times New Roman" w:cs="Times New Roman"/>
        </w:rPr>
        <w:footnoteReference w:id="20"/>
      </w:r>
      <w:r w:rsidRPr="00C00CAB">
        <w:t>. Dès lors, la tâche des experts en la matière n'est pas de venir clore le débat</w:t>
      </w:r>
      <w:r>
        <w:t>,</w:t>
      </w:r>
      <w:r w:rsidRPr="00C00CAB">
        <w:t xml:space="preserve"> mais bien plutôt de l’ouvrir en </w:t>
      </w:r>
      <w:r>
        <w:t>envisageant</w:t>
      </w:r>
      <w:r w:rsidRPr="00C00CAB">
        <w:t xml:space="preserve"> des ensembles de solutions, complémentaires les unes des autres, et des niveaux de protection possibles. </w:t>
      </w:r>
      <w:r>
        <w:t>L</w:t>
      </w:r>
      <w:r w:rsidRPr="00C00CAB">
        <w:t xml:space="preserve">a campagne à venir pour l’élection du Parlement européen en </w:t>
      </w:r>
      <w:r>
        <w:t>juin</w:t>
      </w:r>
      <w:r w:rsidRPr="00C00CAB">
        <w:t xml:space="preserve"> 2024 offre une occasion unique pour en débattre.</w:t>
      </w:r>
    </w:p>
    <w:p w14:paraId="4FDF0512" w14:textId="52A3A9AF"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0C6775">
        <w:t>5 décembre</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667DB" w14:textId="77777777" w:rsidR="007F1DBC" w:rsidRDefault="007F1DBC">
      <w:r>
        <w:separator/>
      </w:r>
    </w:p>
  </w:endnote>
  <w:endnote w:type="continuationSeparator" w:id="0">
    <w:p w14:paraId="3E664B7B" w14:textId="77777777" w:rsidR="007F1DBC" w:rsidRDefault="007F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A9A1D" w14:textId="77777777" w:rsidR="007F1DBC" w:rsidRDefault="007F1DBC">
      <w:r>
        <w:separator/>
      </w:r>
    </w:p>
  </w:footnote>
  <w:footnote w:type="continuationSeparator" w:id="0">
    <w:p w14:paraId="72877A51" w14:textId="77777777" w:rsidR="007F1DBC" w:rsidRDefault="007F1DBC">
      <w:r>
        <w:continuationSeparator/>
      </w:r>
    </w:p>
  </w:footnote>
  <w:footnote w:id="1">
    <w:p w14:paraId="5FEF6CFB" w14:textId="4B800E15" w:rsidR="00AF7093" w:rsidRPr="00F02DA5" w:rsidRDefault="00AF7093" w:rsidP="00AF7093">
      <w:pPr>
        <w:pStyle w:val="Notedebasdepage"/>
        <w:jc w:val="both"/>
      </w:pPr>
      <w:r w:rsidRPr="00F02DA5">
        <w:rPr>
          <w:rStyle w:val="Appelnotedebasdep"/>
        </w:rPr>
        <w:footnoteRef/>
      </w:r>
      <w:r w:rsidRPr="00F02DA5">
        <w:t xml:space="preserve"> </w:t>
      </w:r>
      <w:r>
        <w:t xml:space="preserve">Empruntée à Michel Foucault, cette notion permet de s’intéresser </w:t>
      </w:r>
      <w:r>
        <w:rPr>
          <w:iCs/>
        </w:rPr>
        <w:t xml:space="preserve">à toutes les pratiques et savoirs d’organisation, d’entretien et de protection des acteurs et institutions </w:t>
      </w:r>
      <w:r>
        <w:t xml:space="preserve">de la démocratie dans l’Union : </w:t>
      </w:r>
      <w:r w:rsidRPr="00F02DA5">
        <w:t xml:space="preserve">Michel Foucault, </w:t>
      </w:r>
      <w:r w:rsidRPr="00F02DA5">
        <w:rPr>
          <w:i/>
          <w:iCs/>
        </w:rPr>
        <w:t>Histoire de la sexualité. Le souci de soi</w:t>
      </w:r>
      <w:r w:rsidRPr="00F02DA5">
        <w:t>, vol. 3, Gallimard, 1984.</w:t>
      </w:r>
      <w:r>
        <w:t xml:space="preserve"> On doit à Philippe </w:t>
      </w:r>
      <w:proofErr w:type="spellStart"/>
      <w:r>
        <w:t>Bezes</w:t>
      </w:r>
      <w:proofErr w:type="spellEnd"/>
      <w:r>
        <w:t xml:space="preserve"> d’avoir déplacé cette focale centrée sur les pratiques de « connaissance de soi » dans le champ de la sociologie des institutions et de l’</w:t>
      </w:r>
      <w:r w:rsidR="000C6775">
        <w:t>État</w:t>
      </w:r>
      <w:r>
        <w:t xml:space="preserve"> : v. Philippe </w:t>
      </w:r>
      <w:proofErr w:type="spellStart"/>
      <w:r>
        <w:t>Bezes</w:t>
      </w:r>
      <w:proofErr w:type="spellEnd"/>
      <w:r>
        <w:t xml:space="preserve">, </w:t>
      </w:r>
      <w:r w:rsidRPr="008D7FF1">
        <w:rPr>
          <w:i/>
          <w:iCs/>
        </w:rPr>
        <w:t>Gouverner l’</w:t>
      </w:r>
      <w:r w:rsidR="000C6775" w:rsidRPr="008D7FF1">
        <w:rPr>
          <w:i/>
          <w:iCs/>
        </w:rPr>
        <w:t>État</w:t>
      </w:r>
      <w:r w:rsidRPr="008D7FF1">
        <w:rPr>
          <w:i/>
          <w:iCs/>
        </w:rPr>
        <w:t xml:space="preserve">, op. </w:t>
      </w:r>
      <w:proofErr w:type="spellStart"/>
      <w:proofErr w:type="gramStart"/>
      <w:r w:rsidRPr="008D7FF1">
        <w:rPr>
          <w:i/>
          <w:iCs/>
        </w:rPr>
        <w:t>cit</w:t>
      </w:r>
      <w:proofErr w:type="spellEnd"/>
      <w:proofErr w:type="gramEnd"/>
      <w:r w:rsidRPr="008D7FF1">
        <w:rPr>
          <w:i/>
          <w:iCs/>
        </w:rPr>
        <w:t>.</w:t>
      </w:r>
    </w:p>
  </w:footnote>
  <w:footnote w:id="2">
    <w:p w14:paraId="7F34C886" w14:textId="0A2FF60F" w:rsidR="00AF7093" w:rsidRPr="00F02DA5" w:rsidRDefault="00AF7093" w:rsidP="000C6775">
      <w:pPr>
        <w:pStyle w:val="Notedebasdepage"/>
      </w:pPr>
      <w:r w:rsidRPr="001C6F2E">
        <w:rPr>
          <w:rStyle w:val="Appelnotedebasdep"/>
          <w:rFonts w:ascii="Times New Roman" w:hAnsi="Times New Roman"/>
        </w:rPr>
        <w:footnoteRef/>
      </w:r>
      <w:r w:rsidRPr="001C6F2E">
        <w:t xml:space="preserve"> </w:t>
      </w:r>
      <w:r>
        <w:t xml:space="preserve">Michael </w:t>
      </w:r>
      <w:proofErr w:type="spellStart"/>
      <w:r>
        <w:t>Walzer</w:t>
      </w:r>
      <w:proofErr w:type="spellEnd"/>
      <w:r>
        <w:t xml:space="preserve"> rappelle ainsi que l’émergence d’une sphère démocratique n’a été rendue possible que par l’émergence de frontières qui ”séparent” la sphère du politique et nous prémunissent ainsi des ”risques tyranniques” liés à la domination des sphères du marché, de la religion, etc. :</w:t>
      </w:r>
      <w:r w:rsidRPr="00F02DA5">
        <w:t xml:space="preserve"> «</w:t>
      </w:r>
      <w:r w:rsidR="00A0107E">
        <w:t> </w:t>
      </w:r>
      <w:proofErr w:type="spellStart"/>
      <w:r w:rsidRPr="00F02DA5">
        <w:t>Liberalism</w:t>
      </w:r>
      <w:proofErr w:type="spellEnd"/>
      <w:r w:rsidRPr="00F02DA5">
        <w:t xml:space="preserve"> and the Art of </w:t>
      </w:r>
      <w:proofErr w:type="spellStart"/>
      <w:r w:rsidRPr="00F02DA5">
        <w:t>Separation</w:t>
      </w:r>
      <w:proofErr w:type="spellEnd"/>
      <w:r w:rsidR="00A0107E">
        <w:t> </w:t>
      </w:r>
      <w:r w:rsidRPr="00F02DA5">
        <w:t xml:space="preserve">», </w:t>
      </w:r>
      <w:proofErr w:type="spellStart"/>
      <w:r w:rsidRPr="00F02DA5">
        <w:rPr>
          <w:i/>
          <w:iCs/>
        </w:rPr>
        <w:t>Political</w:t>
      </w:r>
      <w:proofErr w:type="spellEnd"/>
      <w:r w:rsidRPr="00F02DA5">
        <w:rPr>
          <w:i/>
          <w:iCs/>
        </w:rPr>
        <w:t xml:space="preserve"> Theory,</w:t>
      </w:r>
      <w:r w:rsidRPr="00F02DA5">
        <w:t xml:space="preserve"> 12, no. 3, 1984, p. 315-30.</w:t>
      </w:r>
    </w:p>
  </w:footnote>
  <w:footnote w:id="3">
    <w:p w14:paraId="26FDB9BD" w14:textId="77777777" w:rsidR="00AF7093" w:rsidRPr="00C11351" w:rsidRDefault="00AF7093" w:rsidP="00AF7093">
      <w:pPr>
        <w:jc w:val="both"/>
        <w:rPr>
          <w:lang w:val="en-US"/>
        </w:rPr>
      </w:pPr>
      <w:r w:rsidRPr="00EE60DE">
        <w:rPr>
          <w:rStyle w:val="Appelnotedebasdep"/>
          <w:sz w:val="20"/>
          <w:szCs w:val="20"/>
        </w:rPr>
        <w:footnoteRef/>
      </w:r>
      <w:r w:rsidRPr="00EE60DE">
        <w:rPr>
          <w:sz w:val="20"/>
          <w:szCs w:val="20"/>
          <w:lang w:val="en-US"/>
        </w:rPr>
        <w:t xml:space="preserve"> Anu Bradford, </w:t>
      </w:r>
      <w:r w:rsidRPr="00EE60DE">
        <w:rPr>
          <w:i/>
          <w:iCs/>
          <w:sz w:val="20"/>
          <w:szCs w:val="20"/>
          <w:lang w:val="en-US"/>
        </w:rPr>
        <w:t>Brussels’ effect. How the European Union rules the world</w:t>
      </w:r>
      <w:r w:rsidRPr="00EE60DE">
        <w:rPr>
          <w:sz w:val="20"/>
          <w:szCs w:val="20"/>
          <w:lang w:val="en-US"/>
        </w:rPr>
        <w:t xml:space="preserve">, Oxford University Press, 2019. </w:t>
      </w:r>
    </w:p>
  </w:footnote>
  <w:footnote w:id="4">
    <w:p w14:paraId="6ECB4147" w14:textId="77777777" w:rsidR="00AF7093" w:rsidRPr="008D7FF1" w:rsidRDefault="00AF7093" w:rsidP="00AF7093">
      <w:pPr>
        <w:pStyle w:val="Notedebasdepage"/>
        <w:rPr>
          <w:lang w:val="en-US"/>
        </w:rPr>
      </w:pPr>
      <w:r>
        <w:rPr>
          <w:rStyle w:val="Appelnotedebasdep"/>
        </w:rPr>
        <w:footnoteRef/>
      </w:r>
      <w:r w:rsidRPr="00F73320">
        <w:t xml:space="preserve"> </w:t>
      </w:r>
      <w:r w:rsidRPr="008D7FF1">
        <w:t>Sur la métaphore des organisations internationales et européen</w:t>
      </w:r>
      <w:r>
        <w:t>ne</w:t>
      </w:r>
      <w:r w:rsidRPr="008D7FF1">
        <w:t xml:space="preserve">s comme </w:t>
      </w:r>
      <w:r w:rsidRPr="00EE60DE">
        <w:t>« </w:t>
      </w:r>
      <w:r w:rsidRPr="008D7FF1">
        <w:t xml:space="preserve">récifs </w:t>
      </w:r>
      <w:r w:rsidRPr="00EE60DE">
        <w:t xml:space="preserve">coraliens », voir Sidney </w:t>
      </w:r>
      <w:proofErr w:type="spellStart"/>
      <w:r w:rsidRPr="00EE60DE">
        <w:t>Tarrow</w:t>
      </w:r>
      <w:proofErr w:type="spellEnd"/>
      <w:r w:rsidRPr="00EE60DE">
        <w:t xml:space="preserve">, </w:t>
      </w:r>
      <w:r>
        <w:rPr>
          <w:color w:val="333333"/>
        </w:rPr>
        <w:t>« </w:t>
      </w:r>
      <w:r w:rsidRPr="008D7FF1">
        <w:rPr>
          <w:color w:val="333333"/>
        </w:rPr>
        <w:t xml:space="preserve">Transnational </w:t>
      </w:r>
      <w:proofErr w:type="spellStart"/>
      <w:proofErr w:type="gramStart"/>
      <w:r w:rsidRPr="008D7FF1">
        <w:rPr>
          <w:color w:val="333333"/>
        </w:rPr>
        <w:t>Politics</w:t>
      </w:r>
      <w:proofErr w:type="spellEnd"/>
      <w:r w:rsidRPr="008D7FF1">
        <w:rPr>
          <w:color w:val="333333"/>
        </w:rPr>
        <w:t>:</w:t>
      </w:r>
      <w:proofErr w:type="gramEnd"/>
      <w:r w:rsidRPr="008D7FF1">
        <w:rPr>
          <w:color w:val="333333"/>
        </w:rPr>
        <w:t xml:space="preserve"> Contention and Institutions in International </w:t>
      </w:r>
      <w:proofErr w:type="spellStart"/>
      <w:r w:rsidRPr="008D7FF1">
        <w:rPr>
          <w:color w:val="333333"/>
        </w:rPr>
        <w:t>Politics</w:t>
      </w:r>
      <w:proofErr w:type="spellEnd"/>
      <w:r>
        <w:rPr>
          <w:color w:val="333333"/>
        </w:rPr>
        <w:t> »,</w:t>
      </w:r>
      <w:r w:rsidRPr="008D7FF1">
        <w:rPr>
          <w:color w:val="333333"/>
        </w:rPr>
        <w:t> </w:t>
      </w:r>
      <w:proofErr w:type="spellStart"/>
      <w:r w:rsidRPr="008D7FF1">
        <w:rPr>
          <w:rStyle w:val="citationsource-journal"/>
          <w:i/>
          <w:iCs/>
          <w:color w:val="333333"/>
        </w:rPr>
        <w:t>Annual</w:t>
      </w:r>
      <w:proofErr w:type="spellEnd"/>
      <w:r w:rsidRPr="008D7FF1">
        <w:rPr>
          <w:rStyle w:val="citationsource-journal"/>
          <w:i/>
          <w:iCs/>
          <w:color w:val="333333"/>
        </w:rPr>
        <w:t xml:space="preserve"> </w:t>
      </w:r>
      <w:proofErr w:type="spellStart"/>
      <w:r w:rsidRPr="008D7FF1">
        <w:rPr>
          <w:rStyle w:val="citationsource-journal"/>
          <w:i/>
          <w:iCs/>
          <w:color w:val="333333"/>
        </w:rPr>
        <w:t>Review</w:t>
      </w:r>
      <w:proofErr w:type="spellEnd"/>
      <w:r w:rsidRPr="008D7FF1">
        <w:rPr>
          <w:rStyle w:val="citationsource-journal"/>
          <w:i/>
          <w:iCs/>
          <w:color w:val="333333"/>
        </w:rPr>
        <w:t xml:space="preserve"> of </w:t>
      </w:r>
      <w:proofErr w:type="spellStart"/>
      <w:r w:rsidRPr="008D7FF1">
        <w:rPr>
          <w:rStyle w:val="citationsource-journal"/>
          <w:i/>
          <w:iCs/>
          <w:color w:val="333333"/>
        </w:rPr>
        <w:t>Political</w:t>
      </w:r>
      <w:proofErr w:type="spellEnd"/>
      <w:r w:rsidRPr="008D7FF1">
        <w:rPr>
          <w:rStyle w:val="citationsource-journal"/>
          <w:i/>
          <w:iCs/>
          <w:color w:val="333333"/>
        </w:rPr>
        <w:t xml:space="preserve"> Science,</w:t>
      </w:r>
      <w:r w:rsidRPr="008D7FF1">
        <w:rPr>
          <w:color w:val="333333"/>
        </w:rPr>
        <w:t> </w:t>
      </w:r>
      <w:hyperlink r:id="rId1" w:tgtFrame="_blank" w:history="1">
        <w:r w:rsidRPr="008D7FF1">
          <w:rPr>
            <w:rStyle w:val="Lienhypertexte"/>
            <w:color w:val="10147E"/>
          </w:rPr>
          <w:t>4</w:t>
        </w:r>
      </w:hyperlink>
      <w:r w:rsidRPr="008D7FF1">
        <w:t>, no.</w:t>
      </w:r>
      <w:r w:rsidRPr="008D7FF1">
        <w:rPr>
          <w:color w:val="333333"/>
        </w:rPr>
        <w:t> </w:t>
      </w:r>
      <w:hyperlink r:id="rId2" w:tgtFrame="_blank" w:history="1">
        <w:r w:rsidRPr="008D7FF1">
          <w:rPr>
            <w:rStyle w:val="Lienhypertexte"/>
            <w:color w:val="10147E"/>
            <w:lang w:val="en-US"/>
          </w:rPr>
          <w:t>1</w:t>
        </w:r>
      </w:hyperlink>
      <w:r w:rsidRPr="008D7FF1">
        <w:rPr>
          <w:color w:val="333333"/>
          <w:lang w:val="en-US"/>
        </w:rPr>
        <w:t>, 2001, p. 1–20</w:t>
      </w:r>
      <w:r>
        <w:rPr>
          <w:color w:val="333333"/>
          <w:lang w:val="en-US"/>
        </w:rPr>
        <w:t>.</w:t>
      </w:r>
    </w:p>
  </w:footnote>
  <w:footnote w:id="5">
    <w:p w14:paraId="069434C9" w14:textId="77777777" w:rsidR="00AF7093" w:rsidRPr="007C201C" w:rsidRDefault="00AF7093" w:rsidP="000C6775">
      <w:pPr>
        <w:pStyle w:val="Notedebasdepage"/>
        <w:rPr>
          <w:rFonts w:eastAsia="Times New Roman"/>
          <w:lang w:val="en-US" w:eastAsia="fr-FR"/>
        </w:rPr>
      </w:pPr>
      <w:r w:rsidRPr="00A7018C">
        <w:rPr>
          <w:rStyle w:val="Appelnotedebasdep"/>
          <w:rFonts w:ascii="Times New Roman" w:hAnsi="Times New Roman"/>
          <w:lang w:val="en-US"/>
        </w:rPr>
        <w:footnoteRef/>
      </w:r>
      <w:r w:rsidRPr="00C00CAB">
        <w:rPr>
          <w:lang w:val="en-US"/>
        </w:rPr>
        <w:t xml:space="preserve"> Stephen </w:t>
      </w:r>
      <w:r w:rsidRPr="007C201C">
        <w:rPr>
          <w:lang w:val="en-US"/>
        </w:rPr>
        <w:t xml:space="preserve">Barley, « Building an Institutional Field to Corral a Government », </w:t>
      </w:r>
      <w:r w:rsidRPr="007C201C">
        <w:rPr>
          <w:i/>
          <w:iCs/>
          <w:lang w:val="en-US"/>
        </w:rPr>
        <w:t>Organization Studies</w:t>
      </w:r>
      <w:r w:rsidRPr="007C201C">
        <w:rPr>
          <w:lang w:val="en-US"/>
        </w:rPr>
        <w:t xml:space="preserve">, 31, 2010. </w:t>
      </w:r>
      <w:r w:rsidRPr="007C201C">
        <w:t>Voir aussi Sylvain Laurens,</w:t>
      </w:r>
      <w:r w:rsidRPr="007C201C">
        <w:rPr>
          <w:shd w:val="clear" w:color="auto" w:fill="FFFFFF"/>
        </w:rPr>
        <w:t xml:space="preserve"> </w:t>
      </w:r>
      <w:r w:rsidRPr="007C201C">
        <w:rPr>
          <w:rFonts w:eastAsia="Times New Roman"/>
          <w:i/>
          <w:iCs/>
          <w:shd w:val="clear" w:color="auto" w:fill="FFFFFF"/>
          <w:lang w:eastAsia="fr-FR"/>
        </w:rPr>
        <w:t>Les courtiers du capitalisme. Milieux d'affaires et bureaucrates à Bruxelles</w:t>
      </w:r>
      <w:r w:rsidRPr="007C201C">
        <w:rPr>
          <w:rFonts w:eastAsia="Times New Roman"/>
          <w:shd w:val="clear" w:color="auto" w:fill="FFFFFF"/>
          <w:lang w:eastAsia="fr-FR"/>
        </w:rPr>
        <w:t xml:space="preserve">. </w:t>
      </w:r>
      <w:r w:rsidRPr="007C201C">
        <w:rPr>
          <w:rFonts w:eastAsia="Times New Roman"/>
          <w:shd w:val="clear" w:color="auto" w:fill="FFFFFF"/>
          <w:lang w:val="en-US" w:eastAsia="fr-FR"/>
        </w:rPr>
        <w:t>Agone, Marseille, 2015</w:t>
      </w:r>
      <w:r w:rsidRPr="007C201C">
        <w:rPr>
          <w:rFonts w:eastAsia="Times New Roman"/>
          <w:lang w:val="en-US" w:eastAsia="fr-FR"/>
        </w:rPr>
        <w:t>.</w:t>
      </w:r>
    </w:p>
  </w:footnote>
  <w:footnote w:id="6">
    <w:p w14:paraId="7EB9BD63" w14:textId="13484EB5" w:rsidR="00AF7093" w:rsidRPr="007C201C" w:rsidRDefault="00AF7093" w:rsidP="000C6775">
      <w:pPr>
        <w:pStyle w:val="Notedebasdepage"/>
      </w:pPr>
      <w:r w:rsidRPr="007C201C">
        <w:rPr>
          <w:rStyle w:val="Appelnotedebasdep"/>
          <w:rFonts w:ascii="Times New Roman" w:hAnsi="Times New Roman"/>
        </w:rPr>
        <w:footnoteRef/>
      </w:r>
      <w:r w:rsidRPr="007C201C">
        <w:rPr>
          <w:lang w:val="en-US"/>
        </w:rPr>
        <w:t xml:space="preserve"> Christian </w:t>
      </w:r>
      <w:proofErr w:type="spellStart"/>
      <w:r w:rsidRPr="007C201C">
        <w:rPr>
          <w:lang w:val="en-US"/>
        </w:rPr>
        <w:t>Lahusen</w:t>
      </w:r>
      <w:proofErr w:type="spellEnd"/>
      <w:r w:rsidRPr="007C201C">
        <w:rPr>
          <w:lang w:val="en-US"/>
        </w:rPr>
        <w:t xml:space="preserve">, </w:t>
      </w:r>
      <w:r w:rsidRPr="007C201C">
        <w:rPr>
          <w:i/>
          <w:iCs/>
          <w:lang w:val="en-US"/>
        </w:rPr>
        <w:t>European Lobbying: An Occupational Field between Professionalism and Activism.</w:t>
      </w:r>
      <w:r w:rsidRPr="007C201C">
        <w:rPr>
          <w:lang w:val="en-US"/>
        </w:rPr>
        <w:t xml:space="preserve"> </w:t>
      </w:r>
      <w:proofErr w:type="gramStart"/>
      <w:r w:rsidRPr="007C201C">
        <w:t>London:</w:t>
      </w:r>
      <w:proofErr w:type="gramEnd"/>
      <w:r w:rsidRPr="007C201C">
        <w:t xml:space="preserve"> Routledge, 2023 ; et Willy </w:t>
      </w:r>
      <w:proofErr w:type="spellStart"/>
      <w:r w:rsidRPr="007C201C">
        <w:t>Beauvallet</w:t>
      </w:r>
      <w:proofErr w:type="spellEnd"/>
      <w:r w:rsidRPr="007C201C">
        <w:t xml:space="preserve">, Cécile Robert et </w:t>
      </w:r>
      <w:r w:rsidR="007365CD" w:rsidRPr="007C201C">
        <w:t>Élise</w:t>
      </w:r>
      <w:r w:rsidRPr="007C201C">
        <w:t xml:space="preserve"> </w:t>
      </w:r>
      <w:proofErr w:type="spellStart"/>
      <w:r w:rsidRPr="007C201C">
        <w:t>Roullaud</w:t>
      </w:r>
      <w:proofErr w:type="spellEnd"/>
      <w:r w:rsidRPr="007C201C">
        <w:t xml:space="preserve">, </w:t>
      </w:r>
      <w:proofErr w:type="spellStart"/>
      <w:r w:rsidRPr="007C201C">
        <w:t>dir</w:t>
      </w:r>
      <w:proofErr w:type="spellEnd"/>
      <w:r w:rsidRPr="007C201C">
        <w:t xml:space="preserve">., </w:t>
      </w:r>
      <w:r w:rsidRPr="007C201C">
        <w:rPr>
          <w:rFonts w:eastAsia="Times New Roman"/>
          <w:i/>
          <w:iCs/>
          <w:color w:val="333333"/>
          <w:shd w:val="clear" w:color="auto" w:fill="FFFFFF"/>
          <w:lang w:eastAsia="fr-FR"/>
        </w:rPr>
        <w:t xml:space="preserve">EU </w:t>
      </w:r>
      <w:proofErr w:type="spellStart"/>
      <w:r w:rsidRPr="007C201C">
        <w:rPr>
          <w:rFonts w:eastAsia="Times New Roman"/>
          <w:i/>
          <w:iCs/>
          <w:color w:val="333333"/>
          <w:shd w:val="clear" w:color="auto" w:fill="FFFFFF"/>
          <w:lang w:eastAsia="fr-FR"/>
        </w:rPr>
        <w:t>affairs</w:t>
      </w:r>
      <w:proofErr w:type="spellEnd"/>
      <w:r w:rsidRPr="007C201C">
        <w:rPr>
          <w:rFonts w:eastAsia="Times New Roman"/>
          <w:i/>
          <w:iCs/>
          <w:color w:val="333333"/>
          <w:shd w:val="clear" w:color="auto" w:fill="FFFFFF"/>
          <w:lang w:eastAsia="fr-FR"/>
        </w:rPr>
        <w:t xml:space="preserve"> : sociologie des lobbyistes européens</w:t>
      </w:r>
      <w:r w:rsidRPr="007C201C">
        <w:rPr>
          <w:rFonts w:eastAsia="Times New Roman"/>
          <w:color w:val="333333"/>
          <w:shd w:val="clear" w:color="auto" w:fill="FFFFFF"/>
          <w:lang w:eastAsia="fr-FR"/>
        </w:rPr>
        <w:t>, Peter Lang, 2022.</w:t>
      </w:r>
    </w:p>
  </w:footnote>
  <w:footnote w:id="7">
    <w:p w14:paraId="2FA47E64" w14:textId="57BD698D" w:rsidR="00A0107E" w:rsidRPr="00A0107E" w:rsidRDefault="00A0107E">
      <w:pPr>
        <w:pStyle w:val="Notedebasdepage"/>
        <w:rPr>
          <w:rFonts w:ascii="Calibri" w:hAnsi="Calibri" w:cs="Calibri"/>
          <w:color w:val="222222"/>
          <w:sz w:val="48"/>
          <w:szCs w:val="48"/>
        </w:rPr>
      </w:pPr>
      <w:r>
        <w:rPr>
          <w:rStyle w:val="Appelnotedebasdep"/>
        </w:rPr>
        <w:footnoteRef/>
      </w:r>
      <w:r>
        <w:t xml:space="preserve"> Voir par exemple, </w:t>
      </w:r>
      <w:proofErr w:type="spellStart"/>
      <w:r>
        <w:t>Yiorgos</w:t>
      </w:r>
      <w:proofErr w:type="spellEnd"/>
      <w:r>
        <w:t xml:space="preserve"> </w:t>
      </w:r>
      <w:proofErr w:type="spellStart"/>
      <w:r>
        <w:t>Vassalos</w:t>
      </w:r>
      <w:proofErr w:type="spellEnd"/>
      <w:r>
        <w:t xml:space="preserve">, « L’Autorité européenne des marchés financiers et l’interprétation des relations entre régulateurs et régulés », in Willy </w:t>
      </w:r>
      <w:proofErr w:type="spellStart"/>
      <w:r>
        <w:t>Beauvallet</w:t>
      </w:r>
      <w:proofErr w:type="spellEnd"/>
      <w:r>
        <w:t xml:space="preserve">, Cécile Robert et Élise </w:t>
      </w:r>
      <w:proofErr w:type="spellStart"/>
      <w:r>
        <w:t>Roullaud</w:t>
      </w:r>
      <w:proofErr w:type="spellEnd"/>
      <w:r>
        <w:t xml:space="preserve">, </w:t>
      </w:r>
      <w:proofErr w:type="spellStart"/>
      <w:r>
        <w:t>dir</w:t>
      </w:r>
      <w:proofErr w:type="spellEnd"/>
      <w:r>
        <w:t>.,</w:t>
      </w:r>
      <w:r>
        <w:rPr>
          <w:rStyle w:val="apple-converted-space"/>
          <w:b/>
          <w:bCs/>
          <w:color w:val="000000"/>
          <w:sz w:val="24"/>
          <w:szCs w:val="24"/>
        </w:rPr>
        <w:t> </w:t>
      </w:r>
      <w:r>
        <w:rPr>
          <w:i/>
          <w:iCs/>
          <w:color w:val="333333"/>
          <w:shd w:val="clear" w:color="auto" w:fill="FFFFFF"/>
        </w:rPr>
        <w:t xml:space="preserve">EU </w:t>
      </w:r>
      <w:proofErr w:type="spellStart"/>
      <w:r>
        <w:rPr>
          <w:i/>
          <w:iCs/>
          <w:color w:val="333333"/>
          <w:shd w:val="clear" w:color="auto" w:fill="FFFFFF"/>
        </w:rPr>
        <w:t>affairs</w:t>
      </w:r>
      <w:proofErr w:type="spellEnd"/>
      <w:r>
        <w:rPr>
          <w:i/>
          <w:iCs/>
          <w:color w:val="333333"/>
          <w:shd w:val="clear" w:color="auto" w:fill="FFFFFF"/>
        </w:rPr>
        <w:t xml:space="preserve"> : sociologie des lobbyistes européens</w:t>
      </w:r>
      <w:r>
        <w:rPr>
          <w:color w:val="333333"/>
          <w:shd w:val="clear" w:color="auto" w:fill="FFFFFF"/>
        </w:rPr>
        <w:t>, Peter Lang, 2022.</w:t>
      </w:r>
    </w:p>
  </w:footnote>
  <w:footnote w:id="8">
    <w:p w14:paraId="36A36BE9" w14:textId="188730B3" w:rsidR="00AF7093" w:rsidRDefault="00AF7093" w:rsidP="000C6775">
      <w:pPr>
        <w:pStyle w:val="Notedebasdepage"/>
      </w:pPr>
      <w:r w:rsidRPr="007C201C">
        <w:rPr>
          <w:rStyle w:val="Appelnotedebasdep"/>
        </w:rPr>
        <w:footnoteRef/>
      </w:r>
      <w:r w:rsidRPr="007C201C">
        <w:t xml:space="preserve"> On reprend ici la distinction</w:t>
      </w:r>
      <w:r w:rsidRPr="0031593B">
        <w:t xml:space="preserve"> introduite par</w:t>
      </w:r>
      <w:r w:rsidRPr="00C02E36">
        <w:t xml:space="preserve"> David </w:t>
      </w:r>
      <w:proofErr w:type="spellStart"/>
      <w:r w:rsidRPr="00C02E36">
        <w:t>Coen</w:t>
      </w:r>
      <w:proofErr w:type="spellEnd"/>
      <w:r>
        <w:t xml:space="preserve"> et </w:t>
      </w:r>
      <w:proofErr w:type="spellStart"/>
      <w:r>
        <w:t>Matia</w:t>
      </w:r>
      <w:proofErr w:type="spellEnd"/>
      <w:r>
        <w:t xml:space="preserve"> </w:t>
      </w:r>
      <w:proofErr w:type="spellStart"/>
      <w:r>
        <w:t>Vannoni</w:t>
      </w:r>
      <w:proofErr w:type="spellEnd"/>
      <w:r>
        <w:t xml:space="preserve"> </w:t>
      </w:r>
      <w:r w:rsidRPr="00C02E36">
        <w:t>ent</w:t>
      </w:r>
      <w:r>
        <w:t>re</w:t>
      </w:r>
      <w:r w:rsidRPr="00C02E36">
        <w:t xml:space="preserve"> </w:t>
      </w:r>
      <w:r w:rsidRPr="00C02E36">
        <w:rPr>
          <w:i/>
          <w:iCs/>
        </w:rPr>
        <w:t xml:space="preserve">revolving </w:t>
      </w:r>
      <w:proofErr w:type="spellStart"/>
      <w:r w:rsidRPr="00C02E36">
        <w:rPr>
          <w:i/>
          <w:iCs/>
        </w:rPr>
        <w:t>door</w:t>
      </w:r>
      <w:proofErr w:type="spellEnd"/>
      <w:r w:rsidRPr="00C02E36">
        <w:t xml:space="preserve"> et </w:t>
      </w:r>
      <w:proofErr w:type="spellStart"/>
      <w:r w:rsidRPr="00C02E36">
        <w:rPr>
          <w:i/>
          <w:iCs/>
        </w:rPr>
        <w:t>sliding</w:t>
      </w:r>
      <w:proofErr w:type="spellEnd"/>
      <w:r w:rsidRPr="00C02E36">
        <w:rPr>
          <w:i/>
          <w:iCs/>
        </w:rPr>
        <w:t xml:space="preserve"> </w:t>
      </w:r>
      <w:proofErr w:type="spellStart"/>
      <w:r w:rsidRPr="00C02E36">
        <w:rPr>
          <w:i/>
          <w:iCs/>
        </w:rPr>
        <w:t>doors</w:t>
      </w:r>
      <w:proofErr w:type="spellEnd"/>
      <w:r w:rsidRPr="00C02E36">
        <w:t>, pour relativiser le phénomène</w:t>
      </w:r>
      <w:r>
        <w:t xml:space="preserve"> qui</w:t>
      </w:r>
      <w:r w:rsidRPr="00C02E36">
        <w:t xml:space="preserve"> tient </w:t>
      </w:r>
      <w:r>
        <w:t xml:space="preserve">plus </w:t>
      </w:r>
      <w:r w:rsidRPr="00C02E36">
        <w:t xml:space="preserve">d’une imbrication </w:t>
      </w:r>
      <w:r w:rsidRPr="000C6775">
        <w:t>forte</w:t>
      </w:r>
      <w:r w:rsidRPr="00C02E36">
        <w:t>, que d’une</w:t>
      </w:r>
      <w:r>
        <w:t xml:space="preserve"> véritable</w:t>
      </w:r>
      <w:r w:rsidRPr="00C02E36">
        <w:t xml:space="preserve"> indifférenciation des mondes</w:t>
      </w:r>
      <w:r>
        <w:t xml:space="preserve"> publics et privés</w:t>
      </w:r>
      <w:r w:rsidR="00A0107E">
        <w:t> </w:t>
      </w:r>
      <w:r>
        <w:t xml:space="preserve">: David </w:t>
      </w:r>
      <w:proofErr w:type="spellStart"/>
      <w:r>
        <w:t>Coen</w:t>
      </w:r>
      <w:proofErr w:type="spellEnd"/>
      <w:r>
        <w:t xml:space="preserve">, </w:t>
      </w:r>
      <w:proofErr w:type="spellStart"/>
      <w:r>
        <w:t>Matia</w:t>
      </w:r>
      <w:proofErr w:type="spellEnd"/>
      <w:r>
        <w:t xml:space="preserve"> </w:t>
      </w:r>
      <w:proofErr w:type="spellStart"/>
      <w:r>
        <w:t>Vannoni</w:t>
      </w:r>
      <w:proofErr w:type="spellEnd"/>
      <w:r>
        <w:t>, ”</w:t>
      </w:r>
      <w:proofErr w:type="spellStart"/>
      <w:r>
        <w:t>Sliding</w:t>
      </w:r>
      <w:proofErr w:type="spellEnd"/>
      <w:r>
        <w:t xml:space="preserve"> </w:t>
      </w:r>
      <w:proofErr w:type="spellStart"/>
      <w:r>
        <w:t>doors</w:t>
      </w:r>
      <w:proofErr w:type="spellEnd"/>
      <w:r>
        <w:t xml:space="preserve"> in </w:t>
      </w:r>
      <w:proofErr w:type="gramStart"/>
      <w:r>
        <w:t>Brussels:</w:t>
      </w:r>
      <w:proofErr w:type="gramEnd"/>
      <w:r>
        <w:t xml:space="preserve"> A </w:t>
      </w:r>
      <w:proofErr w:type="spellStart"/>
      <w:r>
        <w:t>career</w:t>
      </w:r>
      <w:proofErr w:type="spellEnd"/>
      <w:r>
        <w:t xml:space="preserve"> </w:t>
      </w:r>
      <w:proofErr w:type="spellStart"/>
      <w:r>
        <w:t>path</w:t>
      </w:r>
      <w:proofErr w:type="spellEnd"/>
      <w:r>
        <w:t xml:space="preserve"> </w:t>
      </w:r>
      <w:proofErr w:type="spellStart"/>
      <w:r>
        <w:t>analysis</w:t>
      </w:r>
      <w:proofErr w:type="spellEnd"/>
      <w:r>
        <w:t xml:space="preserve"> of EU </w:t>
      </w:r>
      <w:proofErr w:type="spellStart"/>
      <w:r>
        <w:t>affairs</w:t>
      </w:r>
      <w:proofErr w:type="spellEnd"/>
      <w:r>
        <w:t xml:space="preserve"> </w:t>
      </w:r>
      <w:proofErr w:type="spellStart"/>
      <w:r>
        <w:t>managars</w:t>
      </w:r>
      <w:proofErr w:type="spellEnd"/>
      <w:r>
        <w:t xml:space="preserve">”, </w:t>
      </w:r>
      <w:proofErr w:type="spellStart"/>
      <w:r w:rsidRPr="00C02E36">
        <w:rPr>
          <w:i/>
          <w:iCs/>
        </w:rPr>
        <w:t>European</w:t>
      </w:r>
      <w:proofErr w:type="spellEnd"/>
      <w:r w:rsidRPr="00C02E36">
        <w:rPr>
          <w:i/>
          <w:iCs/>
        </w:rPr>
        <w:t xml:space="preserve"> Journal of </w:t>
      </w:r>
      <w:proofErr w:type="spellStart"/>
      <w:r w:rsidRPr="00C02E36">
        <w:rPr>
          <w:i/>
          <w:iCs/>
        </w:rPr>
        <w:t>Political</w:t>
      </w:r>
      <w:proofErr w:type="spellEnd"/>
      <w:r w:rsidRPr="00C02E36">
        <w:rPr>
          <w:i/>
          <w:iCs/>
        </w:rPr>
        <w:t xml:space="preserve"> </w:t>
      </w:r>
      <w:proofErr w:type="spellStart"/>
      <w:r w:rsidRPr="00C02E36">
        <w:rPr>
          <w:i/>
          <w:iCs/>
        </w:rPr>
        <w:t>Research</w:t>
      </w:r>
      <w:proofErr w:type="spellEnd"/>
      <w:r>
        <w:t xml:space="preserve">, 55, 4, p. 811-826. </w:t>
      </w:r>
    </w:p>
  </w:footnote>
  <w:footnote w:id="9">
    <w:p w14:paraId="366FA788" w14:textId="77777777" w:rsidR="00AF7093" w:rsidRPr="008D7FF1" w:rsidRDefault="00AF7093" w:rsidP="000C6775">
      <w:pPr>
        <w:pStyle w:val="Notedebasdepage"/>
        <w:rPr>
          <w:rFonts w:eastAsia="Times New Roman"/>
          <w:lang w:eastAsia="fr-FR"/>
        </w:rPr>
      </w:pPr>
      <w:r w:rsidRPr="00DD12ED">
        <w:rPr>
          <w:rStyle w:val="Appelnotedebasdep"/>
          <w:rFonts w:ascii="Times New Roman" w:hAnsi="Times New Roman"/>
        </w:rPr>
        <w:footnoteRef/>
      </w:r>
      <w:r w:rsidRPr="00DD12ED">
        <w:t xml:space="preserve"> Henri Boulier, </w:t>
      </w:r>
      <w:r w:rsidRPr="00DD12ED">
        <w:rPr>
          <w:i/>
          <w:iCs/>
        </w:rPr>
        <w:t>Toxiques légaux</w:t>
      </w:r>
      <w:r w:rsidRPr="00DD12ED">
        <w:t xml:space="preserve">. </w:t>
      </w:r>
      <w:r w:rsidRPr="00DD12ED">
        <w:rPr>
          <w:i/>
          <w:iCs/>
        </w:rPr>
        <w:t>Comment les firmes chimiques ont mis la main sur le contrôle de leurs produits</w:t>
      </w:r>
      <w:r w:rsidRPr="00DD12ED">
        <w:t xml:space="preserve">, La découverte, 2019. Voir aussi </w:t>
      </w:r>
      <w:r>
        <w:t>sur</w:t>
      </w:r>
      <w:r w:rsidRPr="00DD12ED">
        <w:t xml:space="preserve"> la régulation des marchés financiers : </w:t>
      </w:r>
      <w:proofErr w:type="spellStart"/>
      <w:r w:rsidRPr="008D7FF1">
        <w:rPr>
          <w:rFonts w:eastAsia="Times New Roman"/>
          <w:color w:val="323232"/>
          <w:shd w:val="clear" w:color="auto" w:fill="FFFFFF"/>
          <w:lang w:eastAsia="fr-FR"/>
        </w:rPr>
        <w:t>Yiorgos</w:t>
      </w:r>
      <w:proofErr w:type="spellEnd"/>
      <w:r w:rsidRPr="008D7FF1">
        <w:rPr>
          <w:rFonts w:eastAsia="Times New Roman"/>
          <w:color w:val="323232"/>
          <w:shd w:val="clear" w:color="auto" w:fill="FFFFFF"/>
          <w:lang w:eastAsia="fr-FR"/>
        </w:rPr>
        <w:t xml:space="preserve"> </w:t>
      </w:r>
      <w:proofErr w:type="spellStart"/>
      <w:r w:rsidRPr="008D7FF1">
        <w:rPr>
          <w:rFonts w:eastAsia="Times New Roman"/>
          <w:color w:val="323232"/>
          <w:shd w:val="clear" w:color="auto" w:fill="FFFFFF"/>
          <w:lang w:eastAsia="fr-FR"/>
        </w:rPr>
        <w:t>Vassalos</w:t>
      </w:r>
      <w:proofErr w:type="spellEnd"/>
      <w:r w:rsidRPr="008D7FF1">
        <w:rPr>
          <w:rFonts w:eastAsia="Times New Roman"/>
          <w:color w:val="323232"/>
          <w:shd w:val="clear" w:color="auto" w:fill="FFFFFF"/>
          <w:lang w:eastAsia="fr-FR"/>
        </w:rPr>
        <w:t xml:space="preserve">, </w:t>
      </w:r>
      <w:r w:rsidRPr="008D7FF1">
        <w:rPr>
          <w:rFonts w:eastAsia="Times New Roman" w:hint="eastAsia"/>
          <w:color w:val="323232"/>
          <w:shd w:val="clear" w:color="auto" w:fill="FFFFFF"/>
          <w:lang w:eastAsia="fr-FR"/>
        </w:rPr>
        <w:t>« </w:t>
      </w:r>
      <w:r w:rsidRPr="008D7FF1">
        <w:rPr>
          <w:rFonts w:eastAsia="Times New Roman"/>
          <w:color w:val="323232"/>
          <w:shd w:val="clear" w:color="auto" w:fill="FFFFFF"/>
          <w:lang w:eastAsia="fr-FR"/>
        </w:rPr>
        <w:t xml:space="preserve">Le pantouflage financier </w:t>
      </w:r>
      <w:r w:rsidRPr="008D7FF1">
        <w:rPr>
          <w:rFonts w:eastAsia="Times New Roman" w:hint="eastAsia"/>
          <w:color w:val="323232"/>
          <w:shd w:val="clear" w:color="auto" w:fill="FFFFFF"/>
          <w:lang w:eastAsia="fr-FR"/>
        </w:rPr>
        <w:t>à</w:t>
      </w:r>
      <w:r w:rsidRPr="008D7FF1">
        <w:rPr>
          <w:rFonts w:eastAsia="Times New Roman"/>
          <w:color w:val="323232"/>
          <w:shd w:val="clear" w:color="auto" w:fill="FFFFFF"/>
          <w:lang w:eastAsia="fr-FR"/>
        </w:rPr>
        <w:t xml:space="preserve"> la Commission europ</w:t>
      </w:r>
      <w:r w:rsidRPr="008D7FF1">
        <w:rPr>
          <w:rFonts w:eastAsia="Times New Roman" w:hint="eastAsia"/>
          <w:color w:val="323232"/>
          <w:shd w:val="clear" w:color="auto" w:fill="FFFFFF"/>
          <w:lang w:eastAsia="fr-FR"/>
        </w:rPr>
        <w:t>é</w:t>
      </w:r>
      <w:r w:rsidRPr="008D7FF1">
        <w:rPr>
          <w:rFonts w:eastAsia="Times New Roman"/>
          <w:color w:val="323232"/>
          <w:shd w:val="clear" w:color="auto" w:fill="FFFFFF"/>
          <w:lang w:eastAsia="fr-FR"/>
        </w:rPr>
        <w:t>enne</w:t>
      </w:r>
      <w:r w:rsidRPr="008D7FF1">
        <w:rPr>
          <w:rFonts w:eastAsia="Times New Roman" w:hint="eastAsia"/>
          <w:color w:val="323232"/>
          <w:shd w:val="clear" w:color="auto" w:fill="FFFFFF"/>
          <w:lang w:eastAsia="fr-FR"/>
        </w:rPr>
        <w:t> »</w:t>
      </w:r>
      <w:r w:rsidRPr="008D7FF1">
        <w:rPr>
          <w:rFonts w:eastAsia="Times New Roman"/>
          <w:color w:val="323232"/>
          <w:shd w:val="clear" w:color="auto" w:fill="FFFFFF"/>
          <w:lang w:eastAsia="fr-FR"/>
        </w:rPr>
        <w:t>,</w:t>
      </w:r>
      <w:r w:rsidRPr="008D7FF1">
        <w:rPr>
          <w:rFonts w:eastAsia="Times New Roman" w:hint="eastAsia"/>
          <w:color w:val="323232"/>
          <w:shd w:val="clear" w:color="auto" w:fill="FFFFFF"/>
          <w:lang w:eastAsia="fr-FR"/>
        </w:rPr>
        <w:t> </w:t>
      </w:r>
      <w:r w:rsidRPr="008D7FF1">
        <w:rPr>
          <w:rFonts w:eastAsia="Times New Roman"/>
          <w:i/>
          <w:iCs/>
          <w:color w:val="323232"/>
          <w:shd w:val="clear" w:color="auto" w:fill="FFFFFF"/>
          <w:lang w:eastAsia="fr-FR"/>
        </w:rPr>
        <w:t>Savoir/Agir</w:t>
      </w:r>
      <w:r w:rsidRPr="008D7FF1">
        <w:rPr>
          <w:rFonts w:eastAsia="Times New Roman"/>
          <w:color w:val="323232"/>
          <w:shd w:val="clear" w:color="auto" w:fill="FFFFFF"/>
          <w:lang w:eastAsia="fr-FR"/>
        </w:rPr>
        <w:t>, 41, 3, 2017, p. 49-57.</w:t>
      </w:r>
    </w:p>
  </w:footnote>
  <w:footnote w:id="10">
    <w:p w14:paraId="747AD6BB" w14:textId="77777777" w:rsidR="00AF7093" w:rsidRPr="00B61D15" w:rsidRDefault="00AF7093" w:rsidP="000C6775">
      <w:pPr>
        <w:pStyle w:val="Notedebasdepage"/>
      </w:pPr>
      <w:r w:rsidRPr="00B61D15">
        <w:rPr>
          <w:rStyle w:val="Appelnotedebasdep"/>
          <w:lang w:val="en-US"/>
        </w:rPr>
        <w:footnoteRef/>
      </w:r>
      <w:r w:rsidRPr="00B61D15">
        <w:t xml:space="preserve"> </w:t>
      </w:r>
      <w:r>
        <w:t>Ainsi des forums et intergroupes</w:t>
      </w:r>
      <w:r w:rsidRPr="00A839DE">
        <w:t xml:space="preserve"> du Parlement européen</w:t>
      </w:r>
      <w:r>
        <w:t xml:space="preserve"> qui </w:t>
      </w:r>
      <w:r w:rsidRPr="000C6775">
        <w:t>sont</w:t>
      </w:r>
      <w:r>
        <w:t xml:space="preserve"> fréquemment financés par des groupes privés : cf.</w:t>
      </w:r>
      <w:r w:rsidRPr="00B61D15">
        <w:t xml:space="preserve"> Jean Comte, </w:t>
      </w:r>
      <w:r w:rsidRPr="00B61D15">
        <w:rPr>
          <w:i/>
          <w:iCs/>
        </w:rPr>
        <w:t>Au cœur du lobbying européen</w:t>
      </w:r>
      <w:r w:rsidRPr="00B61D15">
        <w:t>, Maison des sciences de l’homme, 2023.</w:t>
      </w:r>
    </w:p>
  </w:footnote>
  <w:footnote w:id="11">
    <w:p w14:paraId="278CCB55" w14:textId="51B6822F" w:rsidR="00AF7093" w:rsidRPr="00B61D15" w:rsidRDefault="00AF7093" w:rsidP="000C6775">
      <w:pPr>
        <w:pStyle w:val="Notedebasdepage"/>
      </w:pPr>
      <w:r w:rsidRPr="00B61D15">
        <w:rPr>
          <w:rStyle w:val="Appelnotedebasdep"/>
          <w:color w:val="000000" w:themeColor="text1"/>
          <w:lang w:val="en-US"/>
        </w:rPr>
        <w:footnoteRef/>
      </w:r>
      <w:r w:rsidRPr="00B61D15">
        <w:t xml:space="preserve"> </w:t>
      </w:r>
      <w:r>
        <w:t xml:space="preserve">Que l’on pense à Coca Cola d’une part, et Renault et </w:t>
      </w:r>
      <w:proofErr w:type="spellStart"/>
      <w:r>
        <w:t>Stellantis</w:t>
      </w:r>
      <w:proofErr w:type="spellEnd"/>
      <w:r>
        <w:t xml:space="preserve"> d’autre part, qui auront directement contribué au financement des présidences roumaine et française de l’Union européenne, </w:t>
      </w:r>
      <w:r w:rsidRPr="00B61D15">
        <w:t>Nikolaj Nielsen, «</w:t>
      </w:r>
      <w:r w:rsidR="00A0107E">
        <w:t xml:space="preserve"> </w:t>
      </w:r>
      <w:r w:rsidRPr="00B61D15">
        <w:t xml:space="preserve">EU to </w:t>
      </w:r>
      <w:proofErr w:type="spellStart"/>
      <w:r>
        <w:t>k</w:t>
      </w:r>
      <w:r w:rsidRPr="00B61D15">
        <w:t>eep</w:t>
      </w:r>
      <w:proofErr w:type="spellEnd"/>
      <w:r w:rsidRPr="00B61D15">
        <w:t xml:space="preserve"> </w:t>
      </w:r>
      <w:proofErr w:type="spellStart"/>
      <w:r w:rsidRPr="00B61D15">
        <w:t>corporate</w:t>
      </w:r>
      <w:proofErr w:type="spellEnd"/>
      <w:r w:rsidRPr="00B61D15">
        <w:t xml:space="preserve"> sponsoring of </w:t>
      </w:r>
      <w:proofErr w:type="spellStart"/>
      <w:r w:rsidRPr="00B61D15">
        <w:t>presidencies</w:t>
      </w:r>
      <w:proofErr w:type="spellEnd"/>
      <w:r w:rsidR="00A0107E">
        <w:t xml:space="preserve"> </w:t>
      </w:r>
      <w:r w:rsidRPr="00B61D15">
        <w:t>», 10 juillet 2010 (</w:t>
      </w:r>
      <w:r>
        <w:t xml:space="preserve">URL: </w:t>
      </w:r>
      <w:hyperlink r:id="rId3" w:history="1">
        <w:r w:rsidRPr="00B61D15">
          <w:rPr>
            <w:rStyle w:val="Lienhypertexte"/>
            <w:color w:val="000000" w:themeColor="text1"/>
          </w:rPr>
          <w:t>https://euobserver.com/eu-political/148939</w:t>
        </w:r>
      </w:hyperlink>
      <w:r w:rsidRPr="00B61D15">
        <w:rPr>
          <w:rStyle w:val="Lienhypertexte"/>
          <w:color w:val="000000" w:themeColor="text1"/>
        </w:rPr>
        <w:t>)</w:t>
      </w:r>
    </w:p>
  </w:footnote>
  <w:footnote w:id="12">
    <w:p w14:paraId="5F61380B" w14:textId="77777777" w:rsidR="00AF7093" w:rsidRPr="007C201C" w:rsidRDefault="00AF7093" w:rsidP="000C6775">
      <w:pPr>
        <w:pStyle w:val="Notedebasdepage"/>
        <w:rPr>
          <w:color w:val="000000" w:themeColor="text1"/>
        </w:rPr>
      </w:pPr>
      <w:r>
        <w:rPr>
          <w:rStyle w:val="Appelnotedebasdep"/>
        </w:rPr>
        <w:footnoteRef/>
      </w:r>
      <w:r>
        <w:t xml:space="preserve"> On renvoie ici à l’analyse d’un autre scandale, l’affaire </w:t>
      </w:r>
      <w:proofErr w:type="spellStart"/>
      <w:r>
        <w:t>Dalli</w:t>
      </w:r>
      <w:proofErr w:type="spellEnd"/>
      <w:r>
        <w:t xml:space="preserve">, qui </w:t>
      </w:r>
      <w:r w:rsidRPr="000C6775">
        <w:t>désigne</w:t>
      </w:r>
      <w:r>
        <w:t xml:space="preserve"> le travail d’influence, voire de</w:t>
      </w:r>
      <w:r w:rsidRPr="00DE15E0">
        <w:t xml:space="preserve"> corruption dont a été l’objet le commissaire </w:t>
      </w:r>
      <w:r w:rsidRPr="007C201C">
        <w:rPr>
          <w:color w:val="000000" w:themeColor="text1"/>
        </w:rPr>
        <w:t xml:space="preserve">européen chargé de la santé John </w:t>
      </w:r>
      <w:proofErr w:type="spellStart"/>
      <w:r w:rsidRPr="007C201C">
        <w:rPr>
          <w:color w:val="000000" w:themeColor="text1"/>
        </w:rPr>
        <w:t>Dalli</w:t>
      </w:r>
      <w:proofErr w:type="spellEnd"/>
      <w:r w:rsidRPr="007C201C">
        <w:rPr>
          <w:color w:val="000000" w:themeColor="text1"/>
        </w:rPr>
        <w:t xml:space="preserve"> à la veille de la révision d’une directive européenne concernant le tabac : Guillaume Sacriste, « Sur les logiques sociales du champ du pouvoir européen. L’exemple de l’affaire </w:t>
      </w:r>
      <w:proofErr w:type="spellStart"/>
      <w:r w:rsidRPr="007C201C">
        <w:rPr>
          <w:color w:val="000000" w:themeColor="text1"/>
        </w:rPr>
        <w:t>Dalli</w:t>
      </w:r>
      <w:proofErr w:type="spellEnd"/>
      <w:r w:rsidRPr="007C201C">
        <w:rPr>
          <w:color w:val="000000" w:themeColor="text1"/>
        </w:rPr>
        <w:t xml:space="preserve"> », </w:t>
      </w:r>
      <w:r w:rsidRPr="007C201C">
        <w:rPr>
          <w:i/>
          <w:iCs/>
          <w:color w:val="000000" w:themeColor="text1"/>
        </w:rPr>
        <w:t>Politique européenne</w:t>
      </w:r>
      <w:r w:rsidRPr="007C201C">
        <w:rPr>
          <w:color w:val="000000" w:themeColor="text1"/>
        </w:rPr>
        <w:t>, n°44, 2014, p. 52-96</w:t>
      </w:r>
      <w:r>
        <w:rPr>
          <w:color w:val="000000" w:themeColor="text1"/>
        </w:rPr>
        <w:t xml:space="preserve">. </w:t>
      </w:r>
    </w:p>
  </w:footnote>
  <w:footnote w:id="13">
    <w:p w14:paraId="2FAFF8BB" w14:textId="3E08BC8C" w:rsidR="00AF7093" w:rsidRPr="007C201C" w:rsidRDefault="00AF7093" w:rsidP="000C6775">
      <w:pPr>
        <w:pStyle w:val="Notedebasdepage"/>
      </w:pPr>
      <w:r w:rsidRPr="007C201C">
        <w:rPr>
          <w:rStyle w:val="Appelnotedebasdep"/>
          <w:rFonts w:ascii="Times New Roman" w:hAnsi="Times New Roman"/>
          <w:color w:val="000000" w:themeColor="text1"/>
        </w:rPr>
        <w:footnoteRef/>
      </w:r>
      <w:r w:rsidRPr="007C201C">
        <w:t xml:space="preserve"> Sur ces transformations et la « normalité » des circulations public-privé du côté de la Direction générale de la concurrence, voir les thèses de Lola Avril, </w:t>
      </w:r>
      <w:r w:rsidRPr="007C201C">
        <w:rPr>
          <w:i/>
          <w:iCs/>
        </w:rPr>
        <w:t xml:space="preserve">Le costume sous la robe : les avocats en professionnels </w:t>
      </w:r>
      <w:proofErr w:type="spellStart"/>
      <w:r w:rsidRPr="007C201C">
        <w:rPr>
          <w:i/>
          <w:iCs/>
        </w:rPr>
        <w:t>multi-cartes</w:t>
      </w:r>
      <w:proofErr w:type="spellEnd"/>
      <w:r w:rsidRPr="007C201C">
        <w:rPr>
          <w:i/>
          <w:iCs/>
        </w:rPr>
        <w:t xml:space="preserve"> de l’</w:t>
      </w:r>
      <w:r w:rsidR="000C6775" w:rsidRPr="007C201C">
        <w:rPr>
          <w:i/>
          <w:iCs/>
        </w:rPr>
        <w:t>État</w:t>
      </w:r>
      <w:r w:rsidRPr="007C201C">
        <w:rPr>
          <w:i/>
          <w:iCs/>
        </w:rPr>
        <w:t xml:space="preserve"> régulateur européen : genèse, consolidation, contestations (1957-2019)</w:t>
      </w:r>
      <w:r w:rsidRPr="007C201C">
        <w:t xml:space="preserve">, thèse de doctorat de science politique, 2019 ; et Pierre </w:t>
      </w:r>
      <w:proofErr w:type="spellStart"/>
      <w:r w:rsidRPr="007C201C">
        <w:t>Alayrac</w:t>
      </w:r>
      <w:proofErr w:type="spellEnd"/>
      <w:r w:rsidRPr="007C201C">
        <w:t xml:space="preserve">, </w:t>
      </w:r>
      <w:r w:rsidRPr="007C201C">
        <w:rPr>
          <w:i/>
          <w:iCs/>
        </w:rPr>
        <w:t>Une noblesse d’Europe. Socio-histoire de l’autorité des économistes de la Commission européenne (1958-2003)</w:t>
      </w:r>
      <w:r w:rsidRPr="007C201C">
        <w:t xml:space="preserve">, thèse de sciences sociales, </w:t>
      </w:r>
      <w:proofErr w:type="spellStart"/>
      <w:r w:rsidRPr="007C201C">
        <w:t>Ehess</w:t>
      </w:r>
      <w:proofErr w:type="spellEnd"/>
      <w:r w:rsidRPr="007C201C">
        <w:t>, 2022.</w:t>
      </w:r>
    </w:p>
  </w:footnote>
  <w:footnote w:id="14">
    <w:p w14:paraId="0CE5E5A5" w14:textId="01ABD1A3" w:rsidR="00AF7093" w:rsidRPr="007C201C" w:rsidRDefault="00AF7093" w:rsidP="000C6775">
      <w:pPr>
        <w:pStyle w:val="Notedebasdepage"/>
        <w:rPr>
          <w:rFonts w:eastAsia="Times New Roman"/>
          <w:lang w:eastAsia="fr-FR"/>
        </w:rPr>
      </w:pPr>
      <w:r w:rsidRPr="007C201C">
        <w:rPr>
          <w:rStyle w:val="Appelnotedebasdep"/>
          <w:rFonts w:ascii="Times New Roman" w:hAnsi="Times New Roman"/>
          <w:color w:val="000000" w:themeColor="text1"/>
        </w:rPr>
        <w:footnoteRef/>
      </w:r>
      <w:r w:rsidRPr="007C201C">
        <w:t xml:space="preserve"> Pierre </w:t>
      </w:r>
      <w:proofErr w:type="spellStart"/>
      <w:r w:rsidRPr="007C201C">
        <w:t>Alayrac</w:t>
      </w:r>
      <w:proofErr w:type="spellEnd"/>
      <w:r w:rsidRPr="007C201C">
        <w:t xml:space="preserve">, « Une embauche contestée. Fiona Scott Morton et la </w:t>
      </w:r>
      <w:r w:rsidRPr="000C6775">
        <w:t>prise</w:t>
      </w:r>
      <w:r w:rsidRPr="007C201C">
        <w:t xml:space="preserve"> de rôles bureaucratiques à la Commission européenne », Communication au Colloque « Actualité des études européennes », Sciences Po Strasbourg, Novembre 2023.</w:t>
      </w:r>
      <w:r w:rsidRPr="003C36E0">
        <w:t xml:space="preserve"> </w:t>
      </w:r>
      <w:r w:rsidRPr="007C201C">
        <w:t xml:space="preserve">Cette affaire gagnerait à </w:t>
      </w:r>
      <w:r>
        <w:t xml:space="preserve">être </w:t>
      </w:r>
      <w:r w:rsidRPr="007C201C">
        <w:t>comparée à celle, à bien des égards inverse, déclenchée 25 ans plus tôt sous l’effet de la montée en puissance des pays nordiques</w:t>
      </w:r>
      <w:r>
        <w:t xml:space="preserve"> et des exigences de transparen</w:t>
      </w:r>
      <w:r w:rsidR="007365CD">
        <w:t>ce</w:t>
      </w:r>
      <w:r w:rsidRPr="007C201C">
        <w:t xml:space="preserve"> au sein des institutions européennes</w:t>
      </w:r>
      <w:r>
        <w:t xml:space="preserve"> et qui conduira à la démission de la Commission Santer</w:t>
      </w:r>
      <w:r w:rsidRPr="007C201C">
        <w:t xml:space="preserve"> : </w:t>
      </w:r>
      <w:r w:rsidRPr="007C201C">
        <w:rPr>
          <w:rFonts w:eastAsia="Times New Roman"/>
          <w:color w:val="323232"/>
          <w:shd w:val="clear" w:color="auto" w:fill="FAFAFA"/>
          <w:lang w:eastAsia="fr-FR"/>
        </w:rPr>
        <w:t xml:space="preserve">Didier </w:t>
      </w:r>
      <w:proofErr w:type="spellStart"/>
      <w:r w:rsidRPr="007C201C">
        <w:rPr>
          <w:rFonts w:eastAsia="Times New Roman"/>
          <w:color w:val="323232"/>
          <w:shd w:val="clear" w:color="auto" w:fill="FAFAFA"/>
          <w:lang w:eastAsia="fr-FR"/>
        </w:rPr>
        <w:t>Georgakakis</w:t>
      </w:r>
      <w:proofErr w:type="spellEnd"/>
      <w:r w:rsidRPr="007C201C">
        <w:rPr>
          <w:rFonts w:eastAsia="Times New Roman"/>
          <w:color w:val="323232"/>
          <w:shd w:val="clear" w:color="auto" w:fill="FAFAFA"/>
          <w:lang w:eastAsia="fr-FR"/>
        </w:rPr>
        <w:t>, « La démission de la Commission européenne : scandale et tournant institutionnel (octobre 1998 – mars 1999) », </w:t>
      </w:r>
      <w:r w:rsidRPr="007C201C">
        <w:rPr>
          <w:rFonts w:eastAsia="Times New Roman"/>
          <w:i/>
          <w:iCs/>
          <w:color w:val="323232"/>
          <w:shd w:val="clear" w:color="auto" w:fill="FAFAFA"/>
          <w:lang w:eastAsia="fr-FR"/>
        </w:rPr>
        <w:t>Cultures et conflits</w:t>
      </w:r>
      <w:r w:rsidRPr="007C201C">
        <w:rPr>
          <w:rFonts w:eastAsia="Times New Roman"/>
          <w:color w:val="323232"/>
          <w:shd w:val="clear" w:color="auto" w:fill="FAFAFA"/>
          <w:lang w:eastAsia="fr-FR"/>
        </w:rPr>
        <w:t>, 38-39, 2001, p. 39-71.</w:t>
      </w:r>
    </w:p>
  </w:footnote>
  <w:footnote w:id="15">
    <w:p w14:paraId="6AA797E5" w14:textId="77777777" w:rsidR="00AF7093" w:rsidRPr="00B61D15" w:rsidRDefault="00AF7093" w:rsidP="000C6775">
      <w:pPr>
        <w:pStyle w:val="Notedebasdepage"/>
      </w:pPr>
      <w:r w:rsidRPr="007C201C">
        <w:rPr>
          <w:rStyle w:val="Appelnotedebasdep"/>
          <w:color w:val="000000" w:themeColor="text1"/>
          <w:lang w:val="en-US"/>
        </w:rPr>
        <w:footnoteRef/>
      </w:r>
      <w:r w:rsidRPr="007C201C">
        <w:t xml:space="preserve"> Médiatrice européenne, « Stade critique de l’administration de l’UE dans la gestion du pantouflage », 18 mai 2022 (URL : </w:t>
      </w:r>
      <w:hyperlink r:id="rId4" w:history="1">
        <w:r w:rsidRPr="007C201C">
          <w:t>https://www.ombudsman.europa.eu/fr/press-release/en/156070</w:t>
        </w:r>
      </w:hyperlink>
      <w:r w:rsidRPr="007C201C">
        <w:t>)</w:t>
      </w:r>
    </w:p>
  </w:footnote>
  <w:footnote w:id="16">
    <w:p w14:paraId="3A7B2BCC" w14:textId="77777777" w:rsidR="00AF7093" w:rsidRPr="00A82810" w:rsidRDefault="00AF7093" w:rsidP="000C6775">
      <w:pPr>
        <w:pStyle w:val="Notedebasdepage"/>
        <w:rPr>
          <w:color w:val="000000" w:themeColor="text1"/>
        </w:rPr>
      </w:pPr>
      <w:r w:rsidRPr="008D7FF1">
        <w:rPr>
          <w:rStyle w:val="Appelnotedebasdep"/>
          <w:rFonts w:ascii="Times New Roman" w:hAnsi="Times New Roman"/>
          <w:color w:val="000000" w:themeColor="text1"/>
          <w:lang w:val="en-US"/>
        </w:rPr>
        <w:footnoteRef/>
      </w:r>
      <w:r w:rsidRPr="00A82810">
        <w:rPr>
          <w:color w:val="000000" w:themeColor="text1"/>
        </w:rPr>
        <w:t xml:space="preserve"> </w:t>
      </w:r>
      <w:proofErr w:type="spellStart"/>
      <w:r w:rsidRPr="00A82810">
        <w:rPr>
          <w:color w:val="000000" w:themeColor="text1"/>
          <w:shd w:val="clear" w:color="auto" w:fill="FCFCFC"/>
        </w:rPr>
        <w:t>Emanuela</w:t>
      </w:r>
      <w:proofErr w:type="spellEnd"/>
      <w:r w:rsidRPr="00A82810">
        <w:rPr>
          <w:color w:val="000000" w:themeColor="text1"/>
          <w:shd w:val="clear" w:color="auto" w:fill="FCFCFC"/>
        </w:rPr>
        <w:t xml:space="preserve"> </w:t>
      </w:r>
      <w:proofErr w:type="spellStart"/>
      <w:r w:rsidRPr="00A82810">
        <w:rPr>
          <w:color w:val="000000" w:themeColor="text1"/>
          <w:shd w:val="clear" w:color="auto" w:fill="FCFCFC"/>
        </w:rPr>
        <w:t>Ceva</w:t>
      </w:r>
      <w:proofErr w:type="spellEnd"/>
      <w:r w:rsidRPr="00A82810">
        <w:rPr>
          <w:color w:val="000000" w:themeColor="text1"/>
          <w:shd w:val="clear" w:color="auto" w:fill="FCFCFC"/>
        </w:rPr>
        <w:t xml:space="preserve">, Maria Paola </w:t>
      </w:r>
      <w:proofErr w:type="spellStart"/>
      <w:r w:rsidRPr="00A82810">
        <w:rPr>
          <w:color w:val="000000" w:themeColor="text1"/>
          <w:shd w:val="clear" w:color="auto" w:fill="FCFCFC"/>
        </w:rPr>
        <w:t>Ferretti</w:t>
      </w:r>
      <w:proofErr w:type="spellEnd"/>
      <w:r w:rsidRPr="00A82810">
        <w:rPr>
          <w:color w:val="000000" w:themeColor="text1"/>
        </w:rPr>
        <w:t xml:space="preserve">, </w:t>
      </w:r>
      <w:hyperlink r:id="rId5" w:history="1">
        <w:r w:rsidRPr="00AF034B">
          <w:t xml:space="preserve">« </w:t>
        </w:r>
        <w:proofErr w:type="spellStart"/>
        <w:r w:rsidRPr="00AF034B">
          <w:t>Political</w:t>
        </w:r>
        <w:proofErr w:type="spellEnd"/>
        <w:r w:rsidRPr="00AF034B">
          <w:t xml:space="preserve"> corruption »</w:t>
        </w:r>
      </w:hyperlink>
      <w:r w:rsidRPr="00A82810">
        <w:rPr>
          <w:color w:val="000000" w:themeColor="text1"/>
        </w:rPr>
        <w:t xml:space="preserve">, </w:t>
      </w:r>
      <w:proofErr w:type="spellStart"/>
      <w:r w:rsidRPr="00A82810">
        <w:rPr>
          <w:i/>
          <w:iCs/>
          <w:color w:val="000000" w:themeColor="text1"/>
        </w:rPr>
        <w:t>Philosophy</w:t>
      </w:r>
      <w:proofErr w:type="spellEnd"/>
      <w:r w:rsidRPr="00A82810">
        <w:rPr>
          <w:i/>
          <w:iCs/>
          <w:color w:val="000000" w:themeColor="text1"/>
        </w:rPr>
        <w:t xml:space="preserve"> </w:t>
      </w:r>
      <w:proofErr w:type="spellStart"/>
      <w:r w:rsidRPr="00A82810">
        <w:rPr>
          <w:i/>
          <w:iCs/>
          <w:color w:val="000000" w:themeColor="text1"/>
        </w:rPr>
        <w:t>Compass</w:t>
      </w:r>
      <w:proofErr w:type="spellEnd"/>
      <w:r w:rsidRPr="00A82810">
        <w:rPr>
          <w:color w:val="000000" w:themeColor="text1"/>
        </w:rPr>
        <w:t>, 12-1/2, 2017.</w:t>
      </w:r>
    </w:p>
  </w:footnote>
  <w:footnote w:id="17">
    <w:p w14:paraId="224BF166" w14:textId="77777777" w:rsidR="00AF7093" w:rsidRPr="00AD3AAC" w:rsidRDefault="00AF7093" w:rsidP="000C6775">
      <w:pPr>
        <w:pStyle w:val="Notedebasdepage"/>
      </w:pPr>
      <w:r w:rsidRPr="008D7FF1">
        <w:rPr>
          <w:rStyle w:val="Appelnotedebasdep"/>
          <w:rFonts w:ascii="Times New Roman" w:hAnsi="Times New Roman"/>
        </w:rPr>
        <w:footnoteRef/>
      </w:r>
      <w:r w:rsidRPr="008D7FF1">
        <w:t xml:space="preserve"> D’une manière générale, on renvoie ici </w:t>
      </w:r>
      <w:r>
        <w:t>au dossier dirigé</w:t>
      </w:r>
      <w:r w:rsidRPr="008D7FF1">
        <w:t xml:space="preserve"> </w:t>
      </w:r>
      <w:r>
        <w:t xml:space="preserve">par </w:t>
      </w:r>
      <w:r w:rsidRPr="00A82810">
        <w:t>Cécile Robert</w:t>
      </w:r>
      <w:r>
        <w:t> :</w:t>
      </w:r>
      <w:r w:rsidRPr="00A82810">
        <w:t xml:space="preserve"> « L’Europe en transparence. La mise en politiques d’un mot d’ordre », </w:t>
      </w:r>
      <w:r w:rsidRPr="00A82810">
        <w:rPr>
          <w:i/>
          <w:iCs/>
        </w:rPr>
        <w:t>Politique européenne</w:t>
      </w:r>
      <w:r w:rsidRPr="00A82810">
        <w:t>, n°3, 2018.</w:t>
      </w:r>
    </w:p>
  </w:footnote>
  <w:footnote w:id="18">
    <w:p w14:paraId="5678AA0C" w14:textId="77777777" w:rsidR="00AF7093" w:rsidRPr="00B61D15" w:rsidRDefault="00AF7093" w:rsidP="000C6775">
      <w:pPr>
        <w:pStyle w:val="Notedebasdepage"/>
      </w:pPr>
      <w:r w:rsidRPr="00B61D15">
        <w:rPr>
          <w:rStyle w:val="Appelnotedebasdep"/>
          <w:color w:val="000000" w:themeColor="text1"/>
          <w:lang w:val="en-US"/>
        </w:rPr>
        <w:footnoteRef/>
      </w:r>
      <w:r w:rsidRPr="00B61D15">
        <w:t xml:space="preserve"> </w:t>
      </w:r>
      <w:r>
        <w:t>Cf. Le rapport de l’</w:t>
      </w:r>
      <w:r w:rsidRPr="00B61D15">
        <w:t xml:space="preserve">ancien </w:t>
      </w:r>
      <w:r>
        <w:t>dirigeant</w:t>
      </w:r>
      <w:r w:rsidRPr="00B61D15">
        <w:t xml:space="preserve"> de </w:t>
      </w:r>
      <w:proofErr w:type="spellStart"/>
      <w:r w:rsidRPr="00715FAC">
        <w:t>Transparency</w:t>
      </w:r>
      <w:proofErr w:type="spellEnd"/>
      <w:r w:rsidRPr="00715FAC">
        <w:t xml:space="preserve"> International</w:t>
      </w:r>
      <w:r w:rsidRPr="00B61D15">
        <w:t xml:space="preserve"> et actuel député européen vert</w:t>
      </w:r>
      <w:r>
        <w:t>, Daniel Freund :</w:t>
      </w:r>
      <w:r w:rsidRPr="00B61D15">
        <w:t xml:space="preserve"> </w:t>
      </w:r>
      <w:r w:rsidRPr="00B61D15">
        <w:rPr>
          <w:shd w:val="clear" w:color="auto" w:fill="FFFFFF"/>
        </w:rPr>
        <w:t xml:space="preserve">Rapport sur le renforcement de la transparence et de l'intégrité des institutions de l’UE par la création d'un organisme européen indépendance chargé des questions d’éthique, Parlement européen, 28.7.2021 - </w:t>
      </w:r>
      <w:r w:rsidRPr="00B61D15">
        <w:t>(2020/2133(INI)).</w:t>
      </w:r>
    </w:p>
  </w:footnote>
  <w:footnote w:id="19">
    <w:p w14:paraId="6E207FF3" w14:textId="1563FAC7" w:rsidR="00AF7093" w:rsidRDefault="00AF7093" w:rsidP="000C6775">
      <w:pPr>
        <w:pStyle w:val="Notedebasdepage"/>
      </w:pPr>
      <w:r>
        <w:rPr>
          <w:rStyle w:val="Appelnotedebasdep"/>
        </w:rPr>
        <w:footnoteRef/>
      </w:r>
      <w:r>
        <w:t xml:space="preserve"> Sur ce point, voir Jana </w:t>
      </w:r>
      <w:proofErr w:type="spellStart"/>
      <w:r>
        <w:t>Vargovcikova</w:t>
      </w:r>
      <w:proofErr w:type="spellEnd"/>
      <w:r>
        <w:t xml:space="preserve">, Antoine Vauchez, « Corps privés, intérêts publics. </w:t>
      </w:r>
      <w:r w:rsidR="000C6775">
        <w:t>Élites</w:t>
      </w:r>
      <w:r>
        <w:t xml:space="preserve"> politico-administratives et naissance d’une morale managérial</w:t>
      </w:r>
      <w:r w:rsidR="00A0107E">
        <w:t>e</w:t>
      </w:r>
      <w:r>
        <w:t xml:space="preserve"> d’</w:t>
      </w:r>
      <w:r w:rsidR="000C6775">
        <w:t>État</w:t>
      </w:r>
      <w:r>
        <w:t xml:space="preserve"> », </w:t>
      </w:r>
      <w:r w:rsidRPr="008D7FF1">
        <w:rPr>
          <w:i/>
          <w:iCs/>
        </w:rPr>
        <w:t>Actes de la recherche en sciences sociales</w:t>
      </w:r>
      <w:r>
        <w:t>, 2024, à paraître.</w:t>
      </w:r>
    </w:p>
  </w:footnote>
  <w:footnote w:id="20">
    <w:p w14:paraId="6FD97533" w14:textId="77777777" w:rsidR="00AF7093" w:rsidRPr="00B61D15" w:rsidRDefault="00AF7093" w:rsidP="000C6775">
      <w:pPr>
        <w:pStyle w:val="Notedebasdepage"/>
      </w:pPr>
      <w:r w:rsidRPr="00B61D15">
        <w:rPr>
          <w:rStyle w:val="Appelnotedebasdep"/>
        </w:rPr>
        <w:footnoteRef/>
      </w:r>
      <w:r w:rsidRPr="00B61D15">
        <w:t xml:space="preserve"> On sait ainsi que les partis de gauche sont </w:t>
      </w:r>
      <w:r w:rsidRPr="000C6775">
        <w:t>historiquement</w:t>
      </w:r>
      <w:r w:rsidRPr="00B61D15">
        <w:t xml:space="preserve"> plus attentifs à l’encadrement du financement de la vie politique, tandis que les libéraux ont davantage </w:t>
      </w:r>
      <w:r>
        <w:t>souligné</w:t>
      </w:r>
      <w:r w:rsidRPr="00B61D15">
        <w:t xml:space="preserve"> l’utilité des dispositifs de transparence</w:t>
      </w:r>
      <w:r>
        <w:t xml:space="preserve"> et la nécessité de ne pas pénaliser la liberté d’entreprise</w:t>
      </w:r>
      <w:r w:rsidRPr="00B61D1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7"/>
  <w:doNotDisplayPageBoundarie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C6775"/>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27427"/>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B49E3"/>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365CD"/>
    <w:rsid w:val="00740D4F"/>
    <w:rsid w:val="007566B1"/>
    <w:rsid w:val="00763CD8"/>
    <w:rsid w:val="007701E0"/>
    <w:rsid w:val="0078588F"/>
    <w:rsid w:val="00787779"/>
    <w:rsid w:val="007922AF"/>
    <w:rsid w:val="00792FBC"/>
    <w:rsid w:val="007A1268"/>
    <w:rsid w:val="007B5D97"/>
    <w:rsid w:val="007D35B5"/>
    <w:rsid w:val="007E729E"/>
    <w:rsid w:val="007F1DBC"/>
    <w:rsid w:val="00865FAE"/>
    <w:rsid w:val="008B1967"/>
    <w:rsid w:val="008C7D8A"/>
    <w:rsid w:val="008D57AB"/>
    <w:rsid w:val="008D6B35"/>
    <w:rsid w:val="008E46DD"/>
    <w:rsid w:val="008E5CFF"/>
    <w:rsid w:val="008F3232"/>
    <w:rsid w:val="009243CE"/>
    <w:rsid w:val="00932C1C"/>
    <w:rsid w:val="009400B0"/>
    <w:rsid w:val="009403BD"/>
    <w:rsid w:val="00953330"/>
    <w:rsid w:val="00961394"/>
    <w:rsid w:val="0098253B"/>
    <w:rsid w:val="009857DD"/>
    <w:rsid w:val="00995023"/>
    <w:rsid w:val="009E28A9"/>
    <w:rsid w:val="009F57ED"/>
    <w:rsid w:val="00A0107E"/>
    <w:rsid w:val="00A55C33"/>
    <w:rsid w:val="00A8559A"/>
    <w:rsid w:val="00A97A2E"/>
    <w:rsid w:val="00AD258A"/>
    <w:rsid w:val="00AE4248"/>
    <w:rsid w:val="00AF7093"/>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73D89"/>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qFormat/>
    <w:rsid w:val="00AF7093"/>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Footnotes,Footnote2 Car,Footnote2 Car Car Car,Footnote,Footnote Car C"/>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Footnotes Car,Footnote2 Car Car,Footnote Car"/>
    <w:basedOn w:val="Policepardfaut"/>
    <w:link w:val="Notedebasdepage"/>
    <w:qFormat/>
    <w:rsid w:val="00961394"/>
    <w:rPr>
      <w:rFonts w:ascii="Adobe Caslon Pro" w:hAnsi="Adobe Caslon Pro"/>
      <w:lang w:eastAsia="en-US"/>
    </w:rPr>
  </w:style>
  <w:style w:type="character" w:styleId="Appelnotedebasdep">
    <w:name w:val="footnote reference"/>
    <w:aliases w:val="Normal + Police:8 point,Exposant 3 Point, Exposant 3 Point,RSC_WP (footnote reference),Ref,de nota al pie,Appel note de bas de p,Ref1,de nota al pie1,Ref2,de nota al pie2,Ref3,de nota al pie3,Ref4,de nota al pie4,Ref5,Ref6,Ref7"/>
    <w:basedOn w:val="Policepardfaut"/>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3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Titre1Car">
    <w:name w:val="Titre 1 Car"/>
    <w:basedOn w:val="Policepardfaut"/>
    <w:link w:val="Titre1"/>
    <w:uiPriority w:val="9"/>
    <w:rsid w:val="00AF7093"/>
    <w:rPr>
      <w:rFonts w:asciiTheme="majorHAnsi" w:eastAsiaTheme="majorEastAsia" w:hAnsiTheme="majorHAnsi" w:cstheme="majorBidi"/>
      <w:color w:val="365F91" w:themeColor="accent1" w:themeShade="BF"/>
      <w:sz w:val="32"/>
      <w:szCs w:val="32"/>
      <w:bdr w:val="none" w:sz="0" w:space="0" w:color="auto"/>
      <w:lang w:eastAsia="en-US"/>
    </w:rPr>
  </w:style>
  <w:style w:type="character" w:customStyle="1" w:styleId="citationsource-journal">
    <w:name w:val="citation_source-journal"/>
    <w:basedOn w:val="Policepardfaut"/>
    <w:rsid w:val="00AF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14696276">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38442827">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observer.com/eu-political/148939" TargetMode="External"/><Relationship Id="rId2" Type="http://schemas.openxmlformats.org/officeDocument/2006/relationships/hyperlink" Target="https://doi.org/10.1146/annurev.polisci.4.1.1" TargetMode="External"/><Relationship Id="rId1" Type="http://schemas.openxmlformats.org/officeDocument/2006/relationships/hyperlink" Target="https://doi.org/10.1146/annurev.polisci.4.1.1" TargetMode="External"/><Relationship Id="rId5" Type="http://schemas.openxmlformats.org/officeDocument/2006/relationships/hyperlink" Target="https://onlinelibrary.wiley.com/doi/abs/10.1111/phc3.12461" TargetMode="External"/><Relationship Id="rId4" Type="http://schemas.openxmlformats.org/officeDocument/2006/relationships/hyperlink" Target="https://www.ombudsman.europa.eu/fr/press-release/en/1560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D8E957-2535-B843-B81D-701C7D12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11</Pages>
  <Words>3401</Words>
  <Characters>18708</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2021-07-19T16:04:00Z</cp:lastPrinted>
  <dcterms:created xsi:type="dcterms:W3CDTF">2023-12-04T07:47:00Z</dcterms:created>
  <dcterms:modified xsi:type="dcterms:W3CDTF">2023-12-04T14:03:00Z</dcterms:modified>
</cp:coreProperties>
</file>