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A7C7" w14:textId="77777777" w:rsidR="0063372A" w:rsidRDefault="0063372A" w:rsidP="0063372A">
      <w:pPr>
        <w:outlineLvl w:val="0"/>
        <w:rPr>
          <w:rFonts w:ascii="Times" w:hAnsi="Times"/>
        </w:rPr>
      </w:pPr>
    </w:p>
    <w:p w14:paraId="31873F28" w14:textId="749CCC42" w:rsidR="00E75C6B" w:rsidRDefault="00936CE0" w:rsidP="00E75C6B">
      <w:pPr>
        <w:pStyle w:val="VDITitre"/>
      </w:pPr>
      <w:r>
        <w:t>De l’état d’exception à l</w:t>
      </w:r>
      <w:r w:rsidR="00645B5A">
        <w:t>’</w:t>
      </w:r>
      <w:r w:rsidR="00C404EB">
        <w:rPr>
          <w:rFonts w:ascii="Calibri" w:hAnsi="Calibri" w:cs="Calibri"/>
        </w:rPr>
        <w:t xml:space="preserve">État </w:t>
      </w:r>
      <w:r>
        <w:rPr>
          <w:rFonts w:ascii="Calibri" w:hAnsi="Calibri" w:cs="Calibri"/>
        </w:rPr>
        <w:t>souverain</w:t>
      </w:r>
    </w:p>
    <w:p w14:paraId="2C8EAE69" w14:textId="08C9A9BF" w:rsidR="00E75C6B" w:rsidRPr="009122BA" w:rsidRDefault="008B1967" w:rsidP="008F3232">
      <w:pPr>
        <w:pStyle w:val="VDIAuteur"/>
      </w:pPr>
      <w:proofErr w:type="gramStart"/>
      <w:r w:rsidRPr="009122BA">
        <w:t>p</w:t>
      </w:r>
      <w:r w:rsidR="00E75C6B" w:rsidRPr="009122BA">
        <w:t>ar</w:t>
      </w:r>
      <w:proofErr w:type="gramEnd"/>
      <w:r w:rsidR="00E75C6B" w:rsidRPr="009122BA">
        <w:t xml:space="preserve"> </w:t>
      </w:r>
      <w:r w:rsidR="009122BA">
        <w:t xml:space="preserve">Jean </w:t>
      </w:r>
      <w:proofErr w:type="spellStart"/>
      <w:r w:rsidR="009122BA">
        <w:t>Sénié</w:t>
      </w:r>
      <w:proofErr w:type="spellEnd"/>
    </w:p>
    <w:p w14:paraId="009C15C9" w14:textId="55DF405C" w:rsidR="00466CF9" w:rsidRPr="00645B5A" w:rsidRDefault="009122BA" w:rsidP="00466CF9">
      <w:pPr>
        <w:pStyle w:val="VDIChapo"/>
        <w:rPr>
          <w:lang w:val="fr-FR"/>
        </w:rPr>
      </w:pPr>
      <w:r w:rsidRPr="00645B5A">
        <w:rPr>
          <w:lang w:val="fr-FR"/>
        </w:rPr>
        <w:t>Contre l</w:t>
      </w:r>
      <w:r w:rsidR="00645B5A">
        <w:rPr>
          <w:lang w:val="fr-FR"/>
        </w:rPr>
        <w:t>’</w:t>
      </w:r>
      <w:r w:rsidRPr="00645B5A">
        <w:rPr>
          <w:lang w:val="fr-FR"/>
        </w:rPr>
        <w:t>idée d</w:t>
      </w:r>
      <w:r w:rsidR="00645B5A">
        <w:rPr>
          <w:lang w:val="fr-FR"/>
        </w:rPr>
        <w:t>’</w:t>
      </w:r>
      <w:r w:rsidRPr="00645B5A">
        <w:rPr>
          <w:lang w:val="fr-FR"/>
        </w:rPr>
        <w:t>un bascul</w:t>
      </w:r>
      <w:r w:rsidR="00AD145B" w:rsidRPr="00645B5A">
        <w:rPr>
          <w:lang w:val="fr-FR"/>
        </w:rPr>
        <w:t>e</w:t>
      </w:r>
      <w:r w:rsidRPr="00645B5A">
        <w:rPr>
          <w:lang w:val="fr-FR"/>
        </w:rPr>
        <w:t>ment fondateur d</w:t>
      </w:r>
      <w:r w:rsidR="00AD145B" w:rsidRPr="00645B5A">
        <w:rPr>
          <w:lang w:val="fr-FR"/>
        </w:rPr>
        <w:t>ans</w:t>
      </w:r>
      <w:r w:rsidRPr="00645B5A">
        <w:rPr>
          <w:lang w:val="fr-FR"/>
        </w:rPr>
        <w:t xml:space="preserve"> notre modernité politique, survenu au moment de Machiavel, Julien Le </w:t>
      </w:r>
      <w:proofErr w:type="spellStart"/>
      <w:r w:rsidRPr="00645B5A">
        <w:rPr>
          <w:lang w:val="fr-FR"/>
        </w:rPr>
        <w:t>Mauff</w:t>
      </w:r>
      <w:proofErr w:type="spellEnd"/>
      <w:r w:rsidRPr="00645B5A">
        <w:rPr>
          <w:lang w:val="fr-FR"/>
        </w:rPr>
        <w:t xml:space="preserve"> montre que l</w:t>
      </w:r>
      <w:r w:rsidR="00645B5A">
        <w:rPr>
          <w:lang w:val="fr-FR"/>
        </w:rPr>
        <w:t>’</w:t>
      </w:r>
      <w:r w:rsidRPr="00645B5A">
        <w:rPr>
          <w:lang w:val="fr-FR"/>
        </w:rPr>
        <w:t>e</w:t>
      </w:r>
      <w:r w:rsidR="00AD145B" w:rsidRPr="00645B5A">
        <w:rPr>
          <w:lang w:val="fr-FR"/>
        </w:rPr>
        <w:t>xception à la loi connaît une lente gestation, du XII</w:t>
      </w:r>
      <w:r w:rsidR="00AD145B" w:rsidRPr="00645B5A">
        <w:rPr>
          <w:vertAlign w:val="superscript"/>
          <w:lang w:val="fr-FR"/>
        </w:rPr>
        <w:t>e</w:t>
      </w:r>
      <w:r w:rsidR="00AD145B" w:rsidRPr="00645B5A">
        <w:rPr>
          <w:lang w:val="fr-FR"/>
        </w:rPr>
        <w:t xml:space="preserve"> au XVII</w:t>
      </w:r>
      <w:r w:rsidR="00AD145B" w:rsidRPr="00645B5A">
        <w:rPr>
          <w:vertAlign w:val="superscript"/>
          <w:lang w:val="fr-FR"/>
        </w:rPr>
        <w:t>e</w:t>
      </w:r>
      <w:r w:rsidR="00AD145B" w:rsidRPr="00645B5A">
        <w:rPr>
          <w:lang w:val="fr-FR"/>
        </w:rPr>
        <w:t xml:space="preserve"> siècle, constitutive de modes de gouvernement </w:t>
      </w:r>
      <w:proofErr w:type="gramStart"/>
      <w:r w:rsidR="00AD145B" w:rsidRPr="00645B5A">
        <w:rPr>
          <w:lang w:val="fr-FR"/>
        </w:rPr>
        <w:t>caractéristiques</w:t>
      </w:r>
      <w:proofErr w:type="gramEnd"/>
      <w:r w:rsidR="00AD145B" w:rsidRPr="00645B5A">
        <w:rPr>
          <w:lang w:val="fr-FR"/>
        </w:rPr>
        <w:t xml:space="preserve"> de la modernité.</w:t>
      </w:r>
    </w:p>
    <w:p w14:paraId="6DC4995A" w14:textId="74E0452E" w:rsidR="00357203" w:rsidRDefault="00645B5A" w:rsidP="00357203">
      <w:pPr>
        <w:pStyle w:val="VDIRecens"/>
      </w:pPr>
      <w:r>
        <w:t>À</w:t>
      </w:r>
      <w:r w:rsidR="00357203">
        <w:t xml:space="preserve"> propos de : Julien Le </w:t>
      </w:r>
      <w:proofErr w:type="spellStart"/>
      <w:r w:rsidR="00357203">
        <w:t>Mauff</w:t>
      </w:r>
      <w:proofErr w:type="spellEnd"/>
      <w:r w:rsidR="00357203">
        <w:t xml:space="preserve">, </w:t>
      </w:r>
      <w:r w:rsidR="00357203" w:rsidRPr="00357203">
        <w:rPr>
          <w:i/>
        </w:rPr>
        <w:t>Généalogie de la raison d</w:t>
      </w:r>
      <w:r>
        <w:rPr>
          <w:i/>
        </w:rPr>
        <w:t>’</w:t>
      </w:r>
      <w:r w:rsidR="00357203" w:rsidRPr="00357203">
        <w:rPr>
          <w:rFonts w:ascii="Palatino Linotype" w:hAnsi="Palatino Linotype"/>
          <w:i/>
        </w:rPr>
        <w:t>É</w:t>
      </w:r>
      <w:r w:rsidR="00357203" w:rsidRPr="00357203">
        <w:rPr>
          <w:i/>
        </w:rPr>
        <w:t>tat. L</w:t>
      </w:r>
      <w:r>
        <w:rPr>
          <w:i/>
        </w:rPr>
        <w:t>’</w:t>
      </w:r>
      <w:r w:rsidR="00357203" w:rsidRPr="00357203">
        <w:rPr>
          <w:i/>
        </w:rPr>
        <w:t>exception souveraine du Moyen Âge au baroque</w:t>
      </w:r>
      <w:r w:rsidR="00357203">
        <w:t>, Classiques Garnier, 2021.</w:t>
      </w:r>
      <w:r>
        <w:t xml:space="preserve"> 535 p., 49 €.</w:t>
      </w:r>
    </w:p>
    <w:p w14:paraId="095FA1CD" w14:textId="72663CCA" w:rsidR="00171413" w:rsidRDefault="00645B5A">
      <w:pPr>
        <w:pStyle w:val="Corps"/>
      </w:pPr>
      <w:r>
        <w:t xml:space="preserve">C’est </w:t>
      </w:r>
      <w:r w:rsidR="00586E88">
        <w:rPr>
          <w:rFonts w:hint="eastAsia"/>
        </w:rPr>
        <w:t>à travers une notion foucaldienne par excellence, la généalogie</w:t>
      </w:r>
      <w:r>
        <w:t xml:space="preserve">, que </w:t>
      </w:r>
      <w:r>
        <w:rPr>
          <w:rFonts w:hint="eastAsia"/>
        </w:rPr>
        <w:t xml:space="preserve">Julien Le </w:t>
      </w:r>
      <w:proofErr w:type="spellStart"/>
      <w:r>
        <w:rPr>
          <w:rFonts w:hint="eastAsia"/>
        </w:rPr>
        <w:t>Mauff</w:t>
      </w:r>
      <w:proofErr w:type="spellEnd"/>
      <w:r>
        <w:rPr>
          <w:rFonts w:hint="eastAsia"/>
        </w:rPr>
        <w:t xml:space="preserve"> choisit d</w:t>
      </w:r>
      <w:r>
        <w:t>’</w:t>
      </w:r>
      <w:r>
        <w:rPr>
          <w:rFonts w:hint="eastAsia"/>
        </w:rPr>
        <w:t>approcher la raison d</w:t>
      </w:r>
      <w:r>
        <w:t>’</w:t>
      </w:r>
      <w:r>
        <w:rPr>
          <w:rFonts w:hint="eastAsia"/>
        </w:rPr>
        <w:t>État</w:t>
      </w:r>
      <w:r w:rsidR="00586E88">
        <w:rPr>
          <w:rFonts w:hint="eastAsia"/>
        </w:rPr>
        <w:t>. Il souhaite étudier l</w:t>
      </w:r>
      <w:r>
        <w:t>’</w:t>
      </w:r>
      <w:r w:rsidR="00586E88">
        <w:rPr>
          <w:rFonts w:hint="eastAsia"/>
        </w:rPr>
        <w:t>exception souveraine du Moyen Âge au baroque, en faisant fi des découpages historiques et en enjambant allégrement les tranches d</w:t>
      </w:r>
      <w:r>
        <w:t>’</w:t>
      </w:r>
      <w:r w:rsidR="00586E88">
        <w:rPr>
          <w:rFonts w:hint="eastAsia"/>
        </w:rPr>
        <w:t xml:space="preserve">histoires. </w:t>
      </w:r>
      <w:r w:rsidR="00DF4A85">
        <w:t>En effet, d</w:t>
      </w:r>
      <w:r>
        <w:t>’</w:t>
      </w:r>
      <w:r w:rsidR="00DF4A85">
        <w:t>une part, la raison d</w:t>
      </w:r>
      <w:r>
        <w:t>’</w:t>
      </w:r>
      <w:r w:rsidR="00DF4A85">
        <w:t xml:space="preserve">État est habituellement considérée comme </w:t>
      </w:r>
      <w:r w:rsidR="002A6FDE">
        <w:t>apparaissant durant les guerres d</w:t>
      </w:r>
      <w:r>
        <w:t>’</w:t>
      </w:r>
      <w:r w:rsidR="002A6FDE">
        <w:t>Italie chez des écrivains et hommes politiques comme Guichardin ou Machiavel, avant d</w:t>
      </w:r>
      <w:r>
        <w:t>’</w:t>
      </w:r>
      <w:r w:rsidR="002A6FDE">
        <w:t>être explicitement théorisée entre la fin du XVI</w:t>
      </w:r>
      <w:r w:rsidR="002A6FDE">
        <w:rPr>
          <w:vertAlign w:val="superscript"/>
        </w:rPr>
        <w:t>e</w:t>
      </w:r>
      <w:r w:rsidR="002A6FDE">
        <w:t xml:space="preserve"> siècle et le début du XVII</w:t>
      </w:r>
      <w:r w:rsidR="002A6FDE">
        <w:rPr>
          <w:vertAlign w:val="superscript"/>
        </w:rPr>
        <w:t>e</w:t>
      </w:r>
      <w:r w:rsidR="002A6FDE">
        <w:t xml:space="preserve"> siècle. D</w:t>
      </w:r>
      <w:r>
        <w:t>’</w:t>
      </w:r>
      <w:r w:rsidR="002A6FDE">
        <w:t>autre part, des historiens ont cherché à appliquer ce concept de l</w:t>
      </w:r>
      <w:r>
        <w:t>’</w:t>
      </w:r>
      <w:r w:rsidR="002A6FDE">
        <w:t>époque moderne aux siècles précédents, en partant du milieu du XII</w:t>
      </w:r>
      <w:r w:rsidR="002A6FDE">
        <w:rPr>
          <w:vertAlign w:val="superscript"/>
        </w:rPr>
        <w:t>e</w:t>
      </w:r>
      <w:r w:rsidR="002A6FDE">
        <w:t xml:space="preserve"> siècle</w:t>
      </w:r>
      <w:r w:rsidR="00D9460D">
        <w:t xml:space="preserve"> et des prémices </w:t>
      </w:r>
      <w:r w:rsidR="004B23F9">
        <w:t>d</w:t>
      </w:r>
      <w:r>
        <w:t>’</w:t>
      </w:r>
      <w:r w:rsidR="004B23F9">
        <w:t xml:space="preserve">une pensée </w:t>
      </w:r>
      <w:r w:rsidR="00D9460D">
        <w:t>de l</w:t>
      </w:r>
      <w:r>
        <w:t>’</w:t>
      </w:r>
      <w:r w:rsidR="00D9460D" w:rsidRPr="00D9460D">
        <w:t>É</w:t>
      </w:r>
      <w:r w:rsidR="00D9460D">
        <w:t>tat</w:t>
      </w:r>
      <w:r w:rsidR="002A6FDE">
        <w:t>, qu</w:t>
      </w:r>
      <w:r>
        <w:t>’</w:t>
      </w:r>
      <w:r w:rsidR="002A6FDE">
        <w:t xml:space="preserve">on retienne la parution du </w:t>
      </w:r>
      <w:proofErr w:type="spellStart"/>
      <w:r w:rsidR="002A6FDE" w:rsidRPr="002A6FDE">
        <w:rPr>
          <w:i/>
          <w:iCs/>
        </w:rPr>
        <w:t>Policraticus</w:t>
      </w:r>
      <w:proofErr w:type="spellEnd"/>
      <w:r w:rsidR="002A6FDE">
        <w:t xml:space="preserve"> de Jean de Salisbury avec Gaines Post ou le </w:t>
      </w:r>
      <w:r w:rsidR="002A6FDE">
        <w:lastRenderedPageBreak/>
        <w:t xml:space="preserve">règne de Roger II de Sicile avec </w:t>
      </w:r>
      <w:r w:rsidR="002A6FDE" w:rsidRPr="002A6FDE">
        <w:t xml:space="preserve">Helene </w:t>
      </w:r>
      <w:proofErr w:type="spellStart"/>
      <w:r w:rsidR="002A6FDE" w:rsidRPr="002A6FDE">
        <w:t>Wieruszowski</w:t>
      </w:r>
      <w:proofErr w:type="spellEnd"/>
      <w:r w:rsidR="0041624D">
        <w:rPr>
          <w:rStyle w:val="Appelnotedebasdep"/>
        </w:rPr>
        <w:footnoteReference w:id="1"/>
      </w:r>
      <w:r w:rsidR="002A6FDE">
        <w:t>. Ce sont ces deux tendances historiographiques</w:t>
      </w:r>
      <w:r w:rsidR="00F26478">
        <w:t xml:space="preserve"> </w:t>
      </w:r>
      <w:r w:rsidR="00D403CB">
        <w:t>que</w:t>
      </w:r>
      <w:r w:rsidR="002A6FDE">
        <w:t xml:space="preserve"> vient </w:t>
      </w:r>
      <w:r w:rsidR="006B0962">
        <w:t xml:space="preserve">remettre en question </w:t>
      </w:r>
      <w:r w:rsidR="00F26478">
        <w:t>l</w:t>
      </w:r>
      <w:r>
        <w:t>’</w:t>
      </w:r>
      <w:r w:rsidR="00F26478">
        <w:t>ouvrage</w:t>
      </w:r>
      <w:r w:rsidR="002A6FDE">
        <w:t xml:space="preserve">. </w:t>
      </w:r>
    </w:p>
    <w:p w14:paraId="3E2239E0" w14:textId="1CDF63F8" w:rsidR="00F26478" w:rsidRDefault="00E50BD2" w:rsidP="005B4B3B">
      <w:pPr>
        <w:pStyle w:val="Corps"/>
      </w:pPr>
      <w:r>
        <w:t>A</w:t>
      </w:r>
      <w:r w:rsidR="00C46931">
        <w:t>u-delà de la notion de raison d</w:t>
      </w:r>
      <w:r w:rsidR="00645B5A">
        <w:t>’</w:t>
      </w:r>
      <w:r w:rsidR="007D07BA">
        <w:rPr>
          <w:rFonts w:ascii="Palatino Linotype" w:hAnsi="Palatino Linotype"/>
        </w:rPr>
        <w:t>É</w:t>
      </w:r>
      <w:r w:rsidR="00C46931">
        <w:t>tat, l</w:t>
      </w:r>
      <w:r w:rsidR="00645B5A">
        <w:t>’</w:t>
      </w:r>
      <w:r w:rsidR="00631193">
        <w:t>auteur</w:t>
      </w:r>
      <w:r w:rsidR="00C46931">
        <w:t xml:space="preserve"> se livre à une relecture plus générale</w:t>
      </w:r>
      <w:r w:rsidR="0041624D">
        <w:t xml:space="preserve"> de l</w:t>
      </w:r>
      <w:r w:rsidR="00645B5A">
        <w:t>’</w:t>
      </w:r>
      <w:r w:rsidR="0041624D">
        <w:t>histoire des idées et des concepts politiques. Il s</w:t>
      </w:r>
      <w:r w:rsidR="00645B5A">
        <w:t>’</w:t>
      </w:r>
      <w:r w:rsidR="0041624D">
        <w:t>agit d</w:t>
      </w:r>
      <w:r w:rsidR="00645B5A">
        <w:t>’</w:t>
      </w:r>
      <w:r w:rsidR="0041624D">
        <w:t>interroger la modernité politique à partir de ce qui est censé la faire advenir, à savoir l</w:t>
      </w:r>
      <w:r w:rsidR="00645B5A">
        <w:t>’</w:t>
      </w:r>
      <w:r w:rsidR="0041624D">
        <w:t xml:space="preserve">exception souveraine. Comme </w:t>
      </w:r>
      <w:r w:rsidR="0023008E">
        <w:t xml:space="preserve">il </w:t>
      </w:r>
      <w:r w:rsidR="0041624D">
        <w:t>l</w:t>
      </w:r>
      <w:r w:rsidR="00645B5A">
        <w:t>’</w:t>
      </w:r>
      <w:r w:rsidR="0041624D">
        <w:t xml:space="preserve">écrit à la fin de son introduction, </w:t>
      </w:r>
      <w:r w:rsidR="006B0962">
        <w:t>« </w:t>
      </w:r>
      <w:r w:rsidR="0041624D">
        <w:t>plutôt que par l</w:t>
      </w:r>
      <w:r w:rsidR="00645B5A">
        <w:t>’</w:t>
      </w:r>
      <w:r w:rsidR="0041624D">
        <w:t>inversion d</w:t>
      </w:r>
      <w:r w:rsidR="00645B5A">
        <w:t>’</w:t>
      </w:r>
      <w:r w:rsidR="0041624D">
        <w:t>un rapport de domination entre le politique et la religion, le Moyen Âge et la modernité politique se distinguent en définitive par deux rapports d</w:t>
      </w:r>
      <w:r w:rsidR="00645B5A">
        <w:t>’</w:t>
      </w:r>
      <w:r w:rsidR="0041624D">
        <w:t>inclusion distincts : le passage d</w:t>
      </w:r>
      <w:r w:rsidR="00645B5A">
        <w:t>’</w:t>
      </w:r>
      <w:r w:rsidR="0041624D">
        <w:t>un Moyen Âge où la politique est incluse dans le religieux à une modernité où le religieux est dans la politique, basculement qui survient par la raison d</w:t>
      </w:r>
      <w:r w:rsidR="00645B5A">
        <w:t>’</w:t>
      </w:r>
      <w:r w:rsidR="0041624D">
        <w:t>État même</w:t>
      </w:r>
      <w:r w:rsidR="006B0962">
        <w:t> »</w:t>
      </w:r>
      <w:r w:rsidR="0041624D">
        <w:t xml:space="preserve"> (p. 37).</w:t>
      </w:r>
    </w:p>
    <w:p w14:paraId="0E0556C9" w14:textId="5ACAF5E9" w:rsidR="00651811" w:rsidRDefault="009722A6" w:rsidP="00645B5A">
      <w:pPr>
        <w:pStyle w:val="Corps"/>
      </w:pPr>
      <w:r>
        <w:t xml:space="preserve">Le livre défend </w:t>
      </w:r>
      <w:r w:rsidR="00D403CB">
        <w:t>une thèse forte</w:t>
      </w:r>
      <w:r w:rsidR="006B0962">
        <w:t> :</w:t>
      </w:r>
      <w:r>
        <w:t xml:space="preserve"> </w:t>
      </w:r>
      <w:r w:rsidR="00512B9C">
        <w:t>les</w:t>
      </w:r>
      <w:r>
        <w:t xml:space="preserve"> modalités modernes d</w:t>
      </w:r>
      <w:r w:rsidR="00645B5A">
        <w:t>’</w:t>
      </w:r>
      <w:r>
        <w:t xml:space="preserve">exercice de la politique </w:t>
      </w:r>
      <w:r w:rsidR="00512B9C">
        <w:t>apparaissent à travers le</w:t>
      </w:r>
      <w:r>
        <w:t xml:space="preserve"> point d</w:t>
      </w:r>
      <w:r w:rsidR="00645B5A">
        <w:t>’</w:t>
      </w:r>
      <w:r>
        <w:t xml:space="preserve">observation </w:t>
      </w:r>
      <w:r w:rsidR="00512B9C">
        <w:t>qu</w:t>
      </w:r>
      <w:r w:rsidR="00645B5A">
        <w:t>’</w:t>
      </w:r>
      <w:r w:rsidR="00512B9C">
        <w:t xml:space="preserve">est </w:t>
      </w:r>
      <w:r>
        <w:t>l</w:t>
      </w:r>
      <w:r w:rsidR="00645B5A">
        <w:t>’</w:t>
      </w:r>
      <w:r>
        <w:t xml:space="preserve">exception à la loi. </w:t>
      </w:r>
      <w:r w:rsidR="00216D69">
        <w:t>C</w:t>
      </w:r>
      <w:r w:rsidR="00645B5A">
        <w:t>’</w:t>
      </w:r>
      <w:r w:rsidR="00216D69">
        <w:t>est donc un ouvrage sur les conceptions de la politique entre les XII</w:t>
      </w:r>
      <w:r w:rsidR="00216D69">
        <w:rPr>
          <w:vertAlign w:val="superscript"/>
        </w:rPr>
        <w:t>e</w:t>
      </w:r>
      <w:r w:rsidR="00216D69">
        <w:t xml:space="preserve"> et XVII</w:t>
      </w:r>
      <w:r w:rsidR="00216D69">
        <w:rPr>
          <w:vertAlign w:val="superscript"/>
        </w:rPr>
        <w:t>e</w:t>
      </w:r>
      <w:r w:rsidR="00216D69">
        <w:t xml:space="preserve"> siècles, notamment sur le passage de la </w:t>
      </w:r>
      <w:proofErr w:type="spellStart"/>
      <w:r w:rsidR="00216D69">
        <w:t>pastoralité</w:t>
      </w:r>
      <w:proofErr w:type="spellEnd"/>
      <w:r w:rsidR="00216D69">
        <w:t xml:space="preserve"> </w:t>
      </w:r>
      <w:r w:rsidR="00645B5A">
        <w:t>–</w:t>
      </w:r>
      <w:r w:rsidR="00D1143C">
        <w:t xml:space="preserve"> un mode de gouvernement dans lequel un individu se sent investi d</w:t>
      </w:r>
      <w:r w:rsidR="00645B5A">
        <w:t>’</w:t>
      </w:r>
      <w:r w:rsidR="00D1143C">
        <w:t>une autorité divinement accordée pour s</w:t>
      </w:r>
      <w:r w:rsidR="00645B5A">
        <w:t>’</w:t>
      </w:r>
      <w:r w:rsidR="00D1143C">
        <w:t>occuper d</w:t>
      </w:r>
      <w:r w:rsidR="00645B5A">
        <w:t>’</w:t>
      </w:r>
      <w:r w:rsidR="00D1143C">
        <w:t xml:space="preserve">une communauté humaine, à la façon dont un berger veille sur son troupeau </w:t>
      </w:r>
      <w:r w:rsidR="00645B5A">
        <w:t>–</w:t>
      </w:r>
      <w:r w:rsidR="00D1143C">
        <w:t xml:space="preserve"> </w:t>
      </w:r>
      <w:r w:rsidR="00216D69">
        <w:t>à la gouvernementalité</w:t>
      </w:r>
      <w:r w:rsidR="00D1143C">
        <w:t xml:space="preserve"> </w:t>
      </w:r>
      <w:r w:rsidR="00645B5A">
        <w:t>–</w:t>
      </w:r>
      <w:r w:rsidR="00D1143C">
        <w:t xml:space="preserve"> gouvernement politique des hommes fondé sur une rationalité du pouvoir</w:t>
      </w:r>
      <w:r w:rsidR="00216D69">
        <w:rPr>
          <w:rStyle w:val="Appelnotedebasdep"/>
        </w:rPr>
        <w:footnoteReference w:id="2"/>
      </w:r>
      <w:r w:rsidR="00216D69">
        <w:t xml:space="preserve">. </w:t>
      </w:r>
      <w:r>
        <w:t>L</w:t>
      </w:r>
      <w:r w:rsidR="00645B5A">
        <w:t>’</w:t>
      </w:r>
      <w:r>
        <w:t xml:space="preserve">auteur reconnaît sa dette aux travaux précurseurs de Michel Foucault et à ceux, plus récents, de Giorgio </w:t>
      </w:r>
      <w:proofErr w:type="spellStart"/>
      <w:r>
        <w:t>Agamben</w:t>
      </w:r>
      <w:proofErr w:type="spellEnd"/>
      <w:r>
        <w:t xml:space="preserve"> ou Michel </w:t>
      </w:r>
      <w:proofErr w:type="spellStart"/>
      <w:r>
        <w:t>Senellart</w:t>
      </w:r>
      <w:proofErr w:type="spellEnd"/>
      <w:r>
        <w:t>. Toutefois, Julie</w:t>
      </w:r>
      <w:r w:rsidR="00843FA0">
        <w:t>n</w:t>
      </w:r>
      <w:r>
        <w:t xml:space="preserve"> le </w:t>
      </w:r>
      <w:proofErr w:type="spellStart"/>
      <w:r>
        <w:t>Mauff</w:t>
      </w:r>
      <w:proofErr w:type="spellEnd"/>
      <w:r>
        <w:t xml:space="preserve"> </w:t>
      </w:r>
      <w:r w:rsidR="00E2394E">
        <w:t>écrit</w:t>
      </w:r>
      <w:r>
        <w:t xml:space="preserve"> en tant qu</w:t>
      </w:r>
      <w:r w:rsidR="00645B5A">
        <w:t>’</w:t>
      </w:r>
      <w:r>
        <w:t>historien des idées</w:t>
      </w:r>
      <w:r w:rsidR="00304539">
        <w:t>,</w:t>
      </w:r>
      <w:r>
        <w:t xml:space="preserve"> soucieux de travailler les</w:t>
      </w:r>
      <w:r w:rsidR="00842780">
        <w:t xml:space="preserve"> mots et leur usage, en se revendiquant de l</w:t>
      </w:r>
      <w:r w:rsidR="00645B5A">
        <w:t>’</w:t>
      </w:r>
      <w:r w:rsidR="00842780">
        <w:t xml:space="preserve">approche </w:t>
      </w:r>
      <w:r w:rsidR="006B0962">
        <w:t>« </w:t>
      </w:r>
      <w:proofErr w:type="spellStart"/>
      <w:r w:rsidR="00842780">
        <w:t>conceptualisante</w:t>
      </w:r>
      <w:proofErr w:type="spellEnd"/>
      <w:r w:rsidR="006B0962">
        <w:t> »</w:t>
      </w:r>
      <w:r w:rsidR="00842780">
        <w:t xml:space="preserve"> appelée de ses vœux par Paul Veyne</w:t>
      </w:r>
      <w:r w:rsidR="00842780">
        <w:rPr>
          <w:rStyle w:val="Appelnotedebasdep"/>
        </w:rPr>
        <w:footnoteReference w:id="3"/>
      </w:r>
      <w:r w:rsidR="00842780">
        <w:t>. Ce sont les glissements sémantiques et leur traduction intellectuel</w:t>
      </w:r>
      <w:r w:rsidR="00843FA0">
        <w:t>le</w:t>
      </w:r>
      <w:r w:rsidR="00842780">
        <w:t xml:space="preserve"> qui sont l</w:t>
      </w:r>
      <w:r w:rsidR="00645B5A">
        <w:t>’</w:t>
      </w:r>
      <w:r w:rsidR="00842780">
        <w:t>objet de l</w:t>
      </w:r>
      <w:r w:rsidR="00645B5A">
        <w:t>’</w:t>
      </w:r>
      <w:r w:rsidR="00842780">
        <w:t xml:space="preserve">enquête historienne. </w:t>
      </w:r>
    </w:p>
    <w:p w14:paraId="1BD85658" w14:textId="26847B25" w:rsidR="00651811" w:rsidRDefault="00651811" w:rsidP="00645B5A">
      <w:pPr>
        <w:pStyle w:val="VDIIntertitre"/>
      </w:pPr>
      <w:r>
        <w:lastRenderedPageBreak/>
        <w:t xml:space="preserve">Les mots </w:t>
      </w:r>
      <w:r w:rsidR="00415CC0">
        <w:t>et</w:t>
      </w:r>
      <w:r>
        <w:t xml:space="preserve"> la politique</w:t>
      </w:r>
    </w:p>
    <w:p w14:paraId="37265024" w14:textId="42791F23" w:rsidR="00651811" w:rsidRDefault="00651811" w:rsidP="005B4B3B">
      <w:pPr>
        <w:pStyle w:val="Corps"/>
      </w:pPr>
      <w:r>
        <w:t xml:space="preserve">Le premier apport sonne comme une mise en garde méthodologique et conceptuelle. Julien Le </w:t>
      </w:r>
      <w:proofErr w:type="spellStart"/>
      <w:r>
        <w:t>Mauff</w:t>
      </w:r>
      <w:proofErr w:type="spellEnd"/>
      <w:r>
        <w:t xml:space="preserve"> ne se contente jamais des vérités historiographiques préconçues et prêtes à l</w:t>
      </w:r>
      <w:r w:rsidR="00645B5A">
        <w:t>’</w:t>
      </w:r>
      <w:r>
        <w:t xml:space="preserve">emploi. </w:t>
      </w:r>
      <w:r w:rsidR="00A15BF6">
        <w:t>I</w:t>
      </w:r>
      <w:r>
        <w:t>l les passe systématiquement au crible d</w:t>
      </w:r>
      <w:r w:rsidR="00645B5A">
        <w:t>’</w:t>
      </w:r>
      <w:r>
        <w:t>une relecture minutieuse des sources. Son livre est d</w:t>
      </w:r>
      <w:r w:rsidR="00645B5A">
        <w:t>’</w:t>
      </w:r>
      <w:r>
        <w:t xml:space="preserve">ailleurs une invitation à relire les auteurs canoniques </w:t>
      </w:r>
      <w:r w:rsidR="006B0962">
        <w:t>–</w:t>
      </w:r>
      <w:r>
        <w:t xml:space="preserve"> Augustin, Jean de Salisbury, Thomas d</w:t>
      </w:r>
      <w:r w:rsidR="00645B5A">
        <w:t>’</w:t>
      </w:r>
      <w:r>
        <w:t>Aquin, Duns Scot,</w:t>
      </w:r>
      <w:r w:rsidR="006C12CA">
        <w:t xml:space="preserve"> Guillaume d</w:t>
      </w:r>
      <w:r w:rsidR="00645B5A">
        <w:t>’</w:t>
      </w:r>
      <w:r w:rsidR="006C12CA">
        <w:t xml:space="preserve">Ockham </w:t>
      </w:r>
      <w:r w:rsidR="006B0962">
        <w:t>–</w:t>
      </w:r>
      <w:r w:rsidR="006C12CA">
        <w:t xml:space="preserve"> à la fois pour les replacer dans leur contexte de production intellectuel</w:t>
      </w:r>
      <w:r w:rsidR="00843FA0">
        <w:t>le</w:t>
      </w:r>
      <w:r w:rsidR="006B0962">
        <w:t>,</w:t>
      </w:r>
      <w:r w:rsidR="006C12CA">
        <w:t xml:space="preserve"> mais aussi pour observer les termes employés. L</w:t>
      </w:r>
      <w:r w:rsidR="00645B5A">
        <w:t>’</w:t>
      </w:r>
      <w:r w:rsidR="006C12CA">
        <w:t xml:space="preserve">auteur </w:t>
      </w:r>
      <w:r w:rsidR="006C12CA" w:rsidRPr="00304539">
        <w:t xml:space="preserve">montre </w:t>
      </w:r>
      <w:r w:rsidR="00C37EA6" w:rsidRPr="00304539">
        <w:t>que</w:t>
      </w:r>
      <w:r w:rsidR="006C12CA" w:rsidRPr="00304539">
        <w:t xml:space="preserve"> la </w:t>
      </w:r>
      <w:r w:rsidR="00C37EA6" w:rsidRPr="00304539">
        <w:t>r</w:t>
      </w:r>
      <w:r w:rsidR="006C12CA" w:rsidRPr="00304539">
        <w:t>aison d</w:t>
      </w:r>
      <w:r w:rsidR="00645B5A">
        <w:t>’</w:t>
      </w:r>
      <w:r w:rsidR="006C12CA" w:rsidRPr="00304539">
        <w:t>État</w:t>
      </w:r>
      <w:r w:rsidR="006C12CA">
        <w:t xml:space="preserve"> n</w:t>
      </w:r>
      <w:r w:rsidR="00645B5A">
        <w:t>’</w:t>
      </w:r>
      <w:r w:rsidR="006C12CA">
        <w:t xml:space="preserve">existe pas pour le Moyen Âge, car </w:t>
      </w:r>
      <w:r w:rsidR="00545F49">
        <w:t>l</w:t>
      </w:r>
      <w:r w:rsidR="006C12CA">
        <w:t>es ressources du langage conceptuel à la disposition des auteurs du XII</w:t>
      </w:r>
      <w:r w:rsidR="006C12CA">
        <w:rPr>
          <w:vertAlign w:val="superscript"/>
        </w:rPr>
        <w:t>e</w:t>
      </w:r>
      <w:r w:rsidR="006C12CA">
        <w:t xml:space="preserve"> au XV</w:t>
      </w:r>
      <w:r w:rsidR="006C12CA">
        <w:rPr>
          <w:vertAlign w:val="superscript"/>
        </w:rPr>
        <w:t>e</w:t>
      </w:r>
      <w:r w:rsidR="006C12CA">
        <w:t xml:space="preserve"> siècle ne leur permettent pas de </w:t>
      </w:r>
      <w:r w:rsidR="00545F49">
        <w:t xml:space="preserve">la </w:t>
      </w:r>
      <w:r w:rsidR="006C12CA">
        <w:t>penser. La première partie est à cet égard éclairante en montrant que Jean de Salisbury ne laisse aucune place pou</w:t>
      </w:r>
      <w:r w:rsidR="00843FA0">
        <w:t>r</w:t>
      </w:r>
      <w:r w:rsidR="006C12CA">
        <w:t xml:space="preserve"> l</w:t>
      </w:r>
      <w:r w:rsidR="00645B5A">
        <w:t>’</w:t>
      </w:r>
      <w:r w:rsidR="006C12CA">
        <w:t>exception à la loi, même lorsqu</w:t>
      </w:r>
      <w:r w:rsidR="00645B5A">
        <w:t>’</w:t>
      </w:r>
      <w:r w:rsidR="006C12CA">
        <w:t xml:space="preserve">il porte son regard sur la tyrannie. Comme </w:t>
      </w:r>
      <w:r w:rsidR="006B0962">
        <w:t>l</w:t>
      </w:r>
      <w:r w:rsidR="00645B5A">
        <w:t>’</w:t>
      </w:r>
      <w:r w:rsidR="006B0962">
        <w:t xml:space="preserve">auteur </w:t>
      </w:r>
      <w:r w:rsidR="006C12CA">
        <w:t>l</w:t>
      </w:r>
      <w:r w:rsidR="00645B5A">
        <w:t>’</w:t>
      </w:r>
      <w:r w:rsidR="006C12CA">
        <w:t>écrit, "la pensée politique médiévale reste avant tout celle du modèle pastoral, du moralisme des miroirs des princes et de la tradition qu</w:t>
      </w:r>
      <w:r w:rsidR="00645B5A">
        <w:t>’</w:t>
      </w:r>
      <w:r w:rsidR="006C12CA">
        <w:t>ils illustrent" (p. 135). Pour</w:t>
      </w:r>
      <w:r w:rsidR="00D403CB">
        <w:t>tant, l</w:t>
      </w:r>
      <w:r w:rsidR="00645B5A">
        <w:t>’</w:t>
      </w:r>
      <w:r w:rsidR="00D403CB">
        <w:t>étude du langage politique montre que loin d</w:t>
      </w:r>
      <w:r w:rsidR="00645B5A">
        <w:t>’</w:t>
      </w:r>
      <w:r w:rsidR="00D403CB">
        <w:t>être des paroles gelées, le travail même des penseurs comme Jean de Salisbury</w:t>
      </w:r>
      <w:r w:rsidR="00D45E65">
        <w:t>, philosophe et secrétaire de Thomas Beckett alors que ce dernier est chancelier du roi d</w:t>
      </w:r>
      <w:r w:rsidR="00645B5A">
        <w:t>’</w:t>
      </w:r>
      <w:r w:rsidR="00D45E65">
        <w:t>Angleterre,</w:t>
      </w:r>
      <w:r w:rsidR="00D403CB">
        <w:t xml:space="preserve"> entraîne des effets de sens qui vont grossir le fleuve du raisonnement politique. </w:t>
      </w:r>
    </w:p>
    <w:p w14:paraId="1E0303E5" w14:textId="27ECACB5" w:rsidR="00415CC0" w:rsidRDefault="00C37EA6" w:rsidP="00645B5A">
      <w:pPr>
        <w:pStyle w:val="Corps"/>
      </w:pPr>
      <w:r>
        <w:t>Ainsi les</w:t>
      </w:r>
      <w:r w:rsidR="00003D8C">
        <w:t xml:space="preserve"> évolutions sont particulièrement </w:t>
      </w:r>
      <w:r w:rsidR="00545F49">
        <w:t xml:space="preserve">signifiantes </w:t>
      </w:r>
      <w:r w:rsidR="00003D8C">
        <w:t>autour d</w:t>
      </w:r>
      <w:r w:rsidR="00843FA0">
        <w:t>u</w:t>
      </w:r>
      <w:r w:rsidR="00003D8C">
        <w:t xml:space="preserve"> terme de nécessité (</w:t>
      </w:r>
      <w:proofErr w:type="spellStart"/>
      <w:r w:rsidR="00003D8C">
        <w:rPr>
          <w:i/>
          <w:iCs/>
        </w:rPr>
        <w:t>necessitas</w:t>
      </w:r>
      <w:proofErr w:type="spellEnd"/>
      <w:r w:rsidR="00003D8C">
        <w:t>). La notion ne cesse d</w:t>
      </w:r>
      <w:r w:rsidR="00645B5A">
        <w:t>’</w:t>
      </w:r>
      <w:r w:rsidR="00003D8C">
        <w:t>être travaillé</w:t>
      </w:r>
      <w:r w:rsidR="002A4CA7">
        <w:t>e</w:t>
      </w:r>
      <w:r w:rsidR="00003D8C">
        <w:t xml:space="preserve"> tout au long de la période médiévale. Cela ressort notamment de l</w:t>
      </w:r>
      <w:r w:rsidR="00645B5A">
        <w:t>’</w:t>
      </w:r>
      <w:r w:rsidR="00003D8C">
        <w:t>œuvre d</w:t>
      </w:r>
      <w:r w:rsidR="00D45E65">
        <w:t xml:space="preserve">u franciscain </w:t>
      </w:r>
      <w:r w:rsidR="00003D8C">
        <w:t>Guillaume d</w:t>
      </w:r>
      <w:r w:rsidR="00645B5A">
        <w:t>’</w:t>
      </w:r>
      <w:r w:rsidR="00003D8C">
        <w:t>Ockham</w:t>
      </w:r>
      <w:r w:rsidR="00D45E65">
        <w:t>, philosophe et théologien</w:t>
      </w:r>
      <w:r w:rsidR="00FC0E2C">
        <w:t xml:space="preserve"> nourri de culture franciscaine,</w:t>
      </w:r>
      <w:r w:rsidR="00003D8C">
        <w:t xml:space="preserve"> qui procède à une </w:t>
      </w:r>
      <w:r w:rsidR="006B0962">
        <w:t>« </w:t>
      </w:r>
      <w:r w:rsidR="00003D8C">
        <w:t>opérationnalisation de la pensée théologique vers la pensée politique</w:t>
      </w:r>
      <w:r w:rsidR="006B0962">
        <w:t> »</w:t>
      </w:r>
      <w:r w:rsidR="00003D8C">
        <w:t xml:space="preserve"> (p. 295).</w:t>
      </w:r>
      <w:r w:rsidR="0017364B">
        <w:t xml:space="preserve"> En travaillant la nécessité comme nécessité immuable (</w:t>
      </w:r>
      <w:proofErr w:type="spellStart"/>
      <w:r w:rsidR="0017364B">
        <w:rPr>
          <w:i/>
          <w:iCs/>
        </w:rPr>
        <w:t>necessitas</w:t>
      </w:r>
      <w:proofErr w:type="spellEnd"/>
      <w:r w:rsidR="0017364B">
        <w:rPr>
          <w:i/>
          <w:iCs/>
        </w:rPr>
        <w:t xml:space="preserve"> </w:t>
      </w:r>
      <w:proofErr w:type="spellStart"/>
      <w:r w:rsidR="0017364B">
        <w:rPr>
          <w:i/>
          <w:iCs/>
        </w:rPr>
        <w:t>immu</w:t>
      </w:r>
      <w:r w:rsidR="00FC0E2C">
        <w:rPr>
          <w:i/>
          <w:iCs/>
        </w:rPr>
        <w:t>t</w:t>
      </w:r>
      <w:r w:rsidR="0017364B">
        <w:rPr>
          <w:i/>
          <w:iCs/>
        </w:rPr>
        <w:t>abilis</w:t>
      </w:r>
      <w:proofErr w:type="spellEnd"/>
      <w:r w:rsidR="0017364B">
        <w:t>) rapprochant la nécessité de l</w:t>
      </w:r>
      <w:r w:rsidR="00645B5A">
        <w:t>’</w:t>
      </w:r>
      <w:r w:rsidR="0017364B">
        <w:t>équité du jugement (l</w:t>
      </w:r>
      <w:r w:rsidR="00645B5A">
        <w:t>’</w:t>
      </w:r>
      <w:proofErr w:type="spellStart"/>
      <w:r w:rsidR="0017364B">
        <w:rPr>
          <w:i/>
          <w:iCs/>
        </w:rPr>
        <w:t>epieikeia</w:t>
      </w:r>
      <w:proofErr w:type="spellEnd"/>
      <w:r w:rsidR="0017364B">
        <w:t xml:space="preserve">), en donnant sa place à la contingence </w:t>
      </w:r>
      <w:r w:rsidR="00545F49">
        <w:t>–</w:t>
      </w:r>
      <w:r w:rsidR="0017364B">
        <w:t xml:space="preserve"> mise en avant par Jean Duns Scot </w:t>
      </w:r>
      <w:r w:rsidR="00545F49">
        <w:t>–</w:t>
      </w:r>
      <w:r w:rsidR="0017364B">
        <w:t>, Ockham donne à l</w:t>
      </w:r>
      <w:r w:rsidR="00645B5A">
        <w:t>’</w:t>
      </w:r>
      <w:r w:rsidR="0017364B">
        <w:t>empereur d</w:t>
      </w:r>
      <w:r w:rsidR="00843FA0">
        <w:t>u</w:t>
      </w:r>
      <w:r w:rsidR="0017364B">
        <w:t xml:space="preserve"> Saint-Empire la possibilité de déroger à la loi, qu</w:t>
      </w:r>
      <w:r w:rsidR="00645B5A">
        <w:t>’</w:t>
      </w:r>
      <w:r w:rsidR="0017364B">
        <w:t>elle soit positive ou naturelle. Il crée un espace d</w:t>
      </w:r>
      <w:r w:rsidR="00645B5A">
        <w:t>’</w:t>
      </w:r>
      <w:r w:rsidR="0017364B">
        <w:t>autonomie pour l</w:t>
      </w:r>
      <w:r w:rsidR="00645B5A">
        <w:t>’</w:t>
      </w:r>
      <w:r w:rsidR="0017364B">
        <w:t xml:space="preserve">action politique dans lequel le souverain est seul responsable de ses actes, en dehors de tout jugement moral. La réflexion autour de la nécessité permet </w:t>
      </w:r>
      <w:r w:rsidR="00D31B28">
        <w:t xml:space="preserve">donc </w:t>
      </w:r>
      <w:r w:rsidR="0017364B">
        <w:t>d</w:t>
      </w:r>
      <w:r w:rsidR="00645B5A">
        <w:t>’</w:t>
      </w:r>
      <w:r w:rsidR="0017364B">
        <w:t>enrichir le terme de nouvelles significations</w:t>
      </w:r>
      <w:r w:rsidR="00FC0E2C">
        <w:t xml:space="preserve">. </w:t>
      </w:r>
      <w:r w:rsidR="00304539">
        <w:t>Cette méthode</w:t>
      </w:r>
      <w:r w:rsidR="00FC0E2C">
        <w:t xml:space="preserve"> </w:t>
      </w:r>
      <w:r w:rsidR="00205EE1">
        <w:t>est aussi appliquée à d</w:t>
      </w:r>
      <w:r w:rsidR="00645B5A">
        <w:t>’</w:t>
      </w:r>
      <w:r w:rsidR="00205EE1">
        <w:t>autres</w:t>
      </w:r>
      <w:r w:rsidR="00FC0E2C">
        <w:t xml:space="preserve"> notions</w:t>
      </w:r>
      <w:r w:rsidR="00834F5A">
        <w:t xml:space="preserve">, </w:t>
      </w:r>
      <w:r w:rsidR="00FC0E2C">
        <w:t>comme</w:t>
      </w:r>
      <w:r w:rsidR="00D45E65">
        <w:t xml:space="preserve"> celle d</w:t>
      </w:r>
      <w:r w:rsidR="00645B5A">
        <w:t>’</w:t>
      </w:r>
      <w:r w:rsidR="00FC0E2C">
        <w:t xml:space="preserve">État. Là encore, </w:t>
      </w:r>
      <w:r w:rsidR="006B0962">
        <w:t>« </w:t>
      </w:r>
      <w:r w:rsidR="00FC0E2C">
        <w:t>l</w:t>
      </w:r>
      <w:r w:rsidR="00645B5A">
        <w:t>’</w:t>
      </w:r>
      <w:r w:rsidR="00FC0E2C">
        <w:t>important est bien l</w:t>
      </w:r>
      <w:r w:rsidR="00645B5A">
        <w:t>’</w:t>
      </w:r>
      <w:r w:rsidR="00FC0E2C">
        <w:t>idée derrière le mot, et l</w:t>
      </w:r>
      <w:r w:rsidR="00645B5A">
        <w:t>’</w:t>
      </w:r>
      <w:r w:rsidR="00FC0E2C">
        <w:t>évolution qu</w:t>
      </w:r>
      <w:r w:rsidR="00645B5A">
        <w:t>’</w:t>
      </w:r>
      <w:r w:rsidR="00FC0E2C">
        <w:t xml:space="preserve">elle autorise dans la conception de la gouvernementalité, qui passe du public ou commun peu délimité </w:t>
      </w:r>
      <w:r w:rsidR="00BD2FC2">
        <w:t>[…]</w:t>
      </w:r>
      <w:r w:rsidR="00FC0E2C">
        <w:t xml:space="preserve"> au cadre étatique dont la domination s</w:t>
      </w:r>
      <w:r w:rsidR="00645B5A">
        <w:t>’</w:t>
      </w:r>
      <w:r w:rsidR="00FC0E2C">
        <w:t>établit progressivement du XIII</w:t>
      </w:r>
      <w:r w:rsidR="00FC0E2C">
        <w:rPr>
          <w:vertAlign w:val="superscript"/>
        </w:rPr>
        <w:t>e</w:t>
      </w:r>
      <w:r w:rsidR="00FC0E2C">
        <w:t xml:space="preserve"> siècle au XVII</w:t>
      </w:r>
      <w:r w:rsidR="00FC0E2C">
        <w:rPr>
          <w:vertAlign w:val="superscript"/>
        </w:rPr>
        <w:t>e</w:t>
      </w:r>
      <w:r w:rsidR="00FC0E2C">
        <w:t xml:space="preserve"> siècle</w:t>
      </w:r>
      <w:r w:rsidR="006B0962">
        <w:t> »</w:t>
      </w:r>
      <w:r w:rsidR="00FC0E2C">
        <w:t xml:space="preserve"> (p. 324). </w:t>
      </w:r>
      <w:r w:rsidR="00834F5A">
        <w:t>C</w:t>
      </w:r>
      <w:r w:rsidR="00645B5A">
        <w:t>’</w:t>
      </w:r>
      <w:r w:rsidR="00834F5A">
        <w:t>est donc bien par le langage que commence l</w:t>
      </w:r>
      <w:r w:rsidR="00645B5A">
        <w:t>’</w:t>
      </w:r>
      <w:r w:rsidR="00834F5A">
        <w:t>opération de reconstitution de la généalogie.</w:t>
      </w:r>
    </w:p>
    <w:p w14:paraId="33C9C958" w14:textId="4F7F591D" w:rsidR="00994E2C" w:rsidRDefault="00AE4972" w:rsidP="00645B5A">
      <w:pPr>
        <w:pStyle w:val="VDIIntertitre"/>
      </w:pPr>
      <w:r>
        <w:lastRenderedPageBreak/>
        <w:t>La souveraineté, l</w:t>
      </w:r>
      <w:r w:rsidR="00994E2C">
        <w:t>e territoire et l</w:t>
      </w:r>
      <w:r w:rsidR="00645B5A">
        <w:t>’</w:t>
      </w:r>
      <w:r w:rsidR="00994E2C">
        <w:t>État</w:t>
      </w:r>
    </w:p>
    <w:p w14:paraId="340E2995" w14:textId="66AAEB1A" w:rsidR="003F0B5E" w:rsidRDefault="00A06C29" w:rsidP="00D45E65">
      <w:pPr>
        <w:pStyle w:val="Corps"/>
      </w:pPr>
      <w:r>
        <w:t xml:space="preserve">La dimension spatiale joue un rôle tout aussi fondamental dans la perception de la souveraineté. Julien Le </w:t>
      </w:r>
      <w:proofErr w:type="spellStart"/>
      <w:r>
        <w:t>Mauff</w:t>
      </w:r>
      <w:proofErr w:type="spellEnd"/>
      <w:r>
        <w:t xml:space="preserve"> consacre de belles pages </w:t>
      </w:r>
      <w:r w:rsidR="00C975C6">
        <w:t>au triomphe</w:t>
      </w:r>
      <w:r>
        <w:t xml:space="preserve"> de l</w:t>
      </w:r>
      <w:r w:rsidR="00645B5A">
        <w:t>’</w:t>
      </w:r>
      <w:r>
        <w:t>inaliénabilité du domaine</w:t>
      </w:r>
      <w:r w:rsidR="00D45E65">
        <w:t xml:space="preserve"> </w:t>
      </w:r>
      <w:r w:rsidR="00645B5A">
        <w:t>–</w:t>
      </w:r>
      <w:r w:rsidR="005F4137">
        <w:t xml:space="preserve"> le roi ne peut pas aliéner le domaine royal et il doit le transmettre intact à ses successeurs </w:t>
      </w:r>
      <w:r w:rsidR="00645B5A">
        <w:t>–</w:t>
      </w:r>
      <w:r>
        <w:t>, en montrant qu</w:t>
      </w:r>
      <w:r w:rsidR="00645B5A">
        <w:t>’</w:t>
      </w:r>
      <w:r>
        <w:t>il ne s</w:t>
      </w:r>
      <w:r w:rsidR="00645B5A">
        <w:t>’</w:t>
      </w:r>
      <w:r>
        <w:t>agit pas pour autant de la même chose que le territoire étatique.</w:t>
      </w:r>
      <w:r w:rsidR="003F0B5E">
        <w:t xml:space="preserve"> Celui-ci se développe dans le contexte </w:t>
      </w:r>
      <w:r w:rsidR="00843FA0">
        <w:t>de la</w:t>
      </w:r>
      <w:r w:rsidR="003F0B5E">
        <w:t xml:space="preserve"> Guerre de Cent ans</w:t>
      </w:r>
      <w:r w:rsidR="00D45E65">
        <w:t xml:space="preserve"> (1337-1453)</w:t>
      </w:r>
      <w:r w:rsidR="003F0B5E">
        <w:t>, alors qu</w:t>
      </w:r>
      <w:r w:rsidR="00645B5A">
        <w:t>’</w:t>
      </w:r>
      <w:r w:rsidR="003F0B5E">
        <w:t>il est réaffirmé en permanences par les juristes de l</w:t>
      </w:r>
      <w:r w:rsidR="00645B5A">
        <w:t>’</w:t>
      </w:r>
      <w:r w:rsidR="003F0B5E">
        <w:t xml:space="preserve">entourage </w:t>
      </w:r>
      <w:r w:rsidR="00AE4972">
        <w:t xml:space="preserve">royal. </w:t>
      </w:r>
    </w:p>
    <w:p w14:paraId="3029D08D" w14:textId="34AFA7D0" w:rsidR="00A06C29" w:rsidRDefault="00A06C29" w:rsidP="003F0B5E">
      <w:pPr>
        <w:pStyle w:val="Corps"/>
      </w:pPr>
      <w:r>
        <w:t xml:space="preserve">Reprenant les travaux de Jacques </w:t>
      </w:r>
      <w:proofErr w:type="spellStart"/>
      <w:r>
        <w:t>Krynen</w:t>
      </w:r>
      <w:proofErr w:type="spellEnd"/>
      <w:r>
        <w:t>, l</w:t>
      </w:r>
      <w:r w:rsidR="00645B5A">
        <w:t>’</w:t>
      </w:r>
      <w:r>
        <w:t xml:space="preserve">auteur montre que des notions comme la </w:t>
      </w:r>
      <w:r>
        <w:rPr>
          <w:i/>
          <w:iCs/>
        </w:rPr>
        <w:t xml:space="preserve">corona </w:t>
      </w:r>
      <w:proofErr w:type="spellStart"/>
      <w:r>
        <w:rPr>
          <w:i/>
          <w:iCs/>
        </w:rPr>
        <w:t>regni</w:t>
      </w:r>
      <w:proofErr w:type="spellEnd"/>
      <w:r>
        <w:t xml:space="preserve"> </w:t>
      </w:r>
      <w:r w:rsidR="005F4137">
        <w:t xml:space="preserve">(couronne du royaume) </w:t>
      </w:r>
      <w:r>
        <w:t xml:space="preserve">ou la </w:t>
      </w:r>
      <w:proofErr w:type="spellStart"/>
      <w:r>
        <w:rPr>
          <w:i/>
          <w:iCs/>
        </w:rPr>
        <w:t>dignitas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regia</w:t>
      </w:r>
      <w:proofErr w:type="spellEnd"/>
      <w:r>
        <w:t xml:space="preserve"> </w:t>
      </w:r>
      <w:r w:rsidR="005F4137">
        <w:t xml:space="preserve">(dignité royale) </w:t>
      </w:r>
      <w:r>
        <w:t xml:space="preserve">attestent </w:t>
      </w:r>
      <w:r w:rsidR="00545F49">
        <w:t>« </w:t>
      </w:r>
      <w:r>
        <w:t>du degré d</w:t>
      </w:r>
      <w:r w:rsidR="00645B5A">
        <w:t>’</w:t>
      </w:r>
      <w:r>
        <w:t>avancement de la conscience étatique</w:t>
      </w:r>
      <w:r w:rsidR="00545F49">
        <w:t> »</w:t>
      </w:r>
      <w:r>
        <w:rPr>
          <w:rStyle w:val="Appelnotedebasdep"/>
        </w:rPr>
        <w:footnoteReference w:id="4"/>
      </w:r>
      <w:r>
        <w:t>. L</w:t>
      </w:r>
      <w:r w:rsidR="00645B5A">
        <w:t>’</w:t>
      </w:r>
      <w:r>
        <w:t>œuvre de Nicole Oresme</w:t>
      </w:r>
      <w:r w:rsidR="005D04D1">
        <w:t>, philosophe</w:t>
      </w:r>
      <w:r w:rsidR="005359CB">
        <w:t>,</w:t>
      </w:r>
      <w:r w:rsidR="005D04D1">
        <w:t xml:space="preserve"> évêque de Lisieux et conseiller du roi Charles V, marque une étape décisive dans la territorialisation de la souveraineté, en liant espace et pouvoir</w:t>
      </w:r>
      <w:r w:rsidR="005D04D1">
        <w:rPr>
          <w:rStyle w:val="Appelnotedebasdep"/>
        </w:rPr>
        <w:footnoteReference w:id="5"/>
      </w:r>
      <w:r w:rsidR="005359CB">
        <w:t xml:space="preserve">, </w:t>
      </w:r>
      <w:r w:rsidR="005359CB" w:rsidRPr="00903D93">
        <w:t>puisqu</w:t>
      </w:r>
      <w:r w:rsidR="00645B5A">
        <w:t>’</w:t>
      </w:r>
      <w:r w:rsidR="005359CB" w:rsidRPr="00903D93">
        <w:t>il</w:t>
      </w:r>
      <w:r w:rsidR="005D04D1" w:rsidRPr="00903D93">
        <w:t xml:space="preserve"> affirme</w:t>
      </w:r>
      <w:r w:rsidR="005D04D1">
        <w:t xml:space="preserve"> que la dimension spatiale entre dans la définition même de l</w:t>
      </w:r>
      <w:r w:rsidR="00645B5A">
        <w:t>’</w:t>
      </w:r>
      <w:r w:rsidR="005D04D1">
        <w:t xml:space="preserve">État. Julien Le </w:t>
      </w:r>
      <w:proofErr w:type="spellStart"/>
      <w:r w:rsidR="005D04D1">
        <w:t>Mauff</w:t>
      </w:r>
      <w:proofErr w:type="spellEnd"/>
      <w:r w:rsidR="005D04D1">
        <w:t xml:space="preserve"> se réfère ici aux travaux d</w:t>
      </w:r>
      <w:r w:rsidR="00C67052">
        <w:t>u médiéviste</w:t>
      </w:r>
      <w:r w:rsidR="005D04D1">
        <w:t xml:space="preserve"> Léonard </w:t>
      </w:r>
      <w:proofErr w:type="spellStart"/>
      <w:r w:rsidR="005D04D1">
        <w:t>Dauphant</w:t>
      </w:r>
      <w:proofErr w:type="spellEnd"/>
      <w:r w:rsidR="005D04D1">
        <w:t xml:space="preserve"> qui a étudié "les liens entre entité géographique, gouvernants et gouvernés" (p. 360)</w:t>
      </w:r>
      <w:r w:rsidR="005D04D1">
        <w:rPr>
          <w:rStyle w:val="Appelnotedebasdep"/>
        </w:rPr>
        <w:footnoteReference w:id="6"/>
      </w:r>
      <w:r w:rsidR="005D04D1">
        <w:t>.</w:t>
      </w:r>
    </w:p>
    <w:p w14:paraId="43D85DC7" w14:textId="49494C74" w:rsidR="00994E2C" w:rsidRDefault="005D04D1" w:rsidP="00645B5A">
      <w:pPr>
        <w:pStyle w:val="Corps"/>
      </w:pPr>
      <w:r>
        <w:t>Ces réflexions sur la permanence, l</w:t>
      </w:r>
      <w:r w:rsidR="00645B5A">
        <w:t>’</w:t>
      </w:r>
      <w:r>
        <w:t>inaliénabilité</w:t>
      </w:r>
      <w:r w:rsidR="003F0B5E">
        <w:t xml:space="preserve"> ou</w:t>
      </w:r>
      <w:r>
        <w:t xml:space="preserve"> la territorialisation de l</w:t>
      </w:r>
      <w:r w:rsidR="00645B5A">
        <w:t>’</w:t>
      </w:r>
      <w:r>
        <w:t xml:space="preserve">État confluent dans le travail autour de la notion de </w:t>
      </w:r>
      <w:proofErr w:type="spellStart"/>
      <w:r>
        <w:rPr>
          <w:i/>
          <w:iCs/>
        </w:rPr>
        <w:t>stato</w:t>
      </w:r>
      <w:proofErr w:type="spellEnd"/>
      <w:r>
        <w:t xml:space="preserve"> qu</w:t>
      </w:r>
      <w:r w:rsidR="00645B5A">
        <w:t>’</w:t>
      </w:r>
      <w:r>
        <w:t xml:space="preserve">on observe chez Machiavel, Guichardin et Giovanni Botero. </w:t>
      </w:r>
      <w:r w:rsidR="003F0B5E">
        <w:t>La lente gestation de la pensée de l</w:t>
      </w:r>
      <w:r w:rsidR="00645B5A">
        <w:t>’</w:t>
      </w:r>
      <w:r w:rsidR="003F0B5E">
        <w:t>État s</w:t>
      </w:r>
      <w:r w:rsidR="00645B5A">
        <w:t>’</w:t>
      </w:r>
      <w:r w:rsidR="003F0B5E">
        <w:t>étend sur plusieurs siècles, sans qu</w:t>
      </w:r>
      <w:r w:rsidR="00645B5A">
        <w:t>’</w:t>
      </w:r>
      <w:r w:rsidR="003F0B5E">
        <w:t>elle soit d</w:t>
      </w:r>
      <w:r w:rsidR="00645B5A">
        <w:t>’</w:t>
      </w:r>
      <w:r w:rsidR="003F0B5E">
        <w:t>ailleurs figée une fois pour toute</w:t>
      </w:r>
      <w:r w:rsidR="00843FA0">
        <w:t>s</w:t>
      </w:r>
      <w:r w:rsidR="003F0B5E">
        <w:t xml:space="preserve"> au XVI</w:t>
      </w:r>
      <w:r w:rsidR="003F0B5E">
        <w:rPr>
          <w:vertAlign w:val="superscript"/>
        </w:rPr>
        <w:t>e</w:t>
      </w:r>
      <w:r w:rsidR="003F0B5E">
        <w:t>. Ainsi, alors même que la logique d</w:t>
      </w:r>
      <w:r w:rsidR="00645B5A">
        <w:t>’</w:t>
      </w:r>
      <w:r w:rsidR="003F0B5E">
        <w:t>exception légale se dessine, la logique étatique émerge, parfois chez les mêmes auteurs ou dans les mêmes textes. État et raison d</w:t>
      </w:r>
      <w:r w:rsidR="00645B5A">
        <w:t>’</w:t>
      </w:r>
      <w:r w:rsidR="003F0B5E">
        <w:t>État vont de pair ou, à tout le moins, connaissent des trajectoires similaires.</w:t>
      </w:r>
    </w:p>
    <w:p w14:paraId="006C5280" w14:textId="04A7EE1E" w:rsidR="00415CC0" w:rsidRPr="00415CC0" w:rsidRDefault="00415CC0" w:rsidP="00645B5A">
      <w:pPr>
        <w:pStyle w:val="VDIIntertitre"/>
      </w:pPr>
      <w:r w:rsidRPr="00415CC0">
        <w:lastRenderedPageBreak/>
        <w:t>Le long Moyen Âge de la politique</w:t>
      </w:r>
    </w:p>
    <w:p w14:paraId="351BD147" w14:textId="3E8420E4" w:rsidR="00997390" w:rsidRDefault="00E32DCD" w:rsidP="005B4B3B">
      <w:pPr>
        <w:pStyle w:val="Corps"/>
      </w:pPr>
      <w:r>
        <w:t>L</w:t>
      </w:r>
      <w:r w:rsidR="00645B5A">
        <w:t>’</w:t>
      </w:r>
      <w:r>
        <w:t>ouvrage démontre à plusieurs reprises la nécessité d</w:t>
      </w:r>
      <w:r w:rsidR="00645B5A">
        <w:t>’</w:t>
      </w:r>
      <w:r>
        <w:t xml:space="preserve">étudier sur le temps long le passage de la </w:t>
      </w:r>
      <w:proofErr w:type="spellStart"/>
      <w:r>
        <w:t>pastoralité</w:t>
      </w:r>
      <w:proofErr w:type="spellEnd"/>
      <w:r>
        <w:t xml:space="preserve"> à la gouvernementalité. Julien Le </w:t>
      </w:r>
      <w:proofErr w:type="spellStart"/>
      <w:r>
        <w:t>Mauff</w:t>
      </w:r>
      <w:proofErr w:type="spellEnd"/>
      <w:r>
        <w:t xml:space="preserve"> retrouve dans la sphère des concepts et des idées politiques les postulats du médiéviste Jacques Le Goff sur un long Moyen Âge. Sans courir du III</w:t>
      </w:r>
      <w:r>
        <w:rPr>
          <w:vertAlign w:val="superscript"/>
        </w:rPr>
        <w:t>e</w:t>
      </w:r>
      <w:r>
        <w:t xml:space="preserve"> siècle au XIX</w:t>
      </w:r>
      <w:r>
        <w:rPr>
          <w:vertAlign w:val="superscript"/>
        </w:rPr>
        <w:t>e</w:t>
      </w:r>
      <w:r>
        <w:t xml:space="preserve"> siècle, l</w:t>
      </w:r>
      <w:r w:rsidR="00645B5A">
        <w:t>’</w:t>
      </w:r>
      <w:r>
        <w:t>étude de la généalogie de la raison d</w:t>
      </w:r>
      <w:r w:rsidR="00645B5A">
        <w:t>’</w:t>
      </w:r>
      <w:r>
        <w:t>État nécessite d</w:t>
      </w:r>
      <w:r w:rsidR="00645B5A">
        <w:t>’</w:t>
      </w:r>
      <w:r>
        <w:t>embrasser la période allant du XII</w:t>
      </w:r>
      <w:r>
        <w:rPr>
          <w:vertAlign w:val="superscript"/>
        </w:rPr>
        <w:t>e</w:t>
      </w:r>
      <w:r>
        <w:t xml:space="preserve"> siècle au XVII</w:t>
      </w:r>
      <w:r>
        <w:rPr>
          <w:vertAlign w:val="superscript"/>
        </w:rPr>
        <w:t>e</w:t>
      </w:r>
      <w:r>
        <w:t xml:space="preserve"> siècle, alors même que l</w:t>
      </w:r>
      <w:r w:rsidR="00645B5A">
        <w:t>’</w:t>
      </w:r>
      <w:r>
        <w:t>exceptionnalité légale se voit explicitement théorisée. Dans ce chemin, l</w:t>
      </w:r>
      <w:r w:rsidR="00645B5A">
        <w:t>’</w:t>
      </w:r>
      <w:r>
        <w:t xml:space="preserve">historien des idées </w:t>
      </w:r>
      <w:r w:rsidR="00415CC0">
        <w:t>mobilise de nombreux auteurs pour observer les opérations de recomposition et la circulation des savoirs</w:t>
      </w:r>
      <w:r>
        <w:t xml:space="preserve">, grâce à une érudition rigoureuse et claire. </w:t>
      </w:r>
      <w:r w:rsidR="00AD1A7D">
        <w:t>Cette analyse</w:t>
      </w:r>
      <w:r>
        <w:t xml:space="preserve"> permet à Julien Le </w:t>
      </w:r>
      <w:proofErr w:type="spellStart"/>
      <w:r>
        <w:t>Mauff</w:t>
      </w:r>
      <w:proofErr w:type="spellEnd"/>
      <w:r>
        <w:t xml:space="preserve"> de réarrimer des penseurs comme Machiavel aux sources médiévales de leur pensée et de nuancer la </w:t>
      </w:r>
      <w:r w:rsidR="00545F49">
        <w:t>« </w:t>
      </w:r>
      <w:r>
        <w:t>révolution Machiavel</w:t>
      </w:r>
      <w:r w:rsidR="00545F49">
        <w:t> »</w:t>
      </w:r>
      <w:r w:rsidR="00997390">
        <w:t xml:space="preserve">. Il écrit ainsi que </w:t>
      </w:r>
      <w:r w:rsidR="00545F49">
        <w:t>« </w:t>
      </w:r>
      <w:r w:rsidR="00997390">
        <w:t>Machiavel n</w:t>
      </w:r>
      <w:r w:rsidR="00645B5A">
        <w:t>’</w:t>
      </w:r>
      <w:r w:rsidR="00997390">
        <w:t>est pas en contradiction complète avec ce qui le précède et se révèle d</w:t>
      </w:r>
      <w:r w:rsidR="00645B5A">
        <w:t>’</w:t>
      </w:r>
      <w:r w:rsidR="00997390">
        <w:t xml:space="preserve">abord un habile héritier, auteur avec </w:t>
      </w:r>
      <w:r w:rsidR="00997390">
        <w:rPr>
          <w:i/>
          <w:iCs/>
        </w:rPr>
        <w:t>Le Prince</w:t>
      </w:r>
      <w:r w:rsidR="00997390">
        <w:t xml:space="preserve"> d</w:t>
      </w:r>
      <w:r w:rsidR="00645B5A">
        <w:t>’</w:t>
      </w:r>
      <w:r w:rsidR="00997390">
        <w:t>une synthèse qui fait intervenir trois éléments distincts, tous trois inscrits dans une certaine continuité</w:t>
      </w:r>
      <w:r w:rsidR="00545F49">
        <w:t> »</w:t>
      </w:r>
      <w:r w:rsidR="00997390">
        <w:t xml:space="preserve"> (p. 396). Sans nier l</w:t>
      </w:r>
      <w:r w:rsidR="00645B5A">
        <w:t>’</w:t>
      </w:r>
      <w:r w:rsidR="00997390">
        <w:t xml:space="preserve">originalité du travail de Machiavel sur la </w:t>
      </w:r>
      <w:proofErr w:type="spellStart"/>
      <w:r w:rsidR="00997390">
        <w:rPr>
          <w:i/>
          <w:iCs/>
        </w:rPr>
        <w:t>fortuna</w:t>
      </w:r>
      <w:proofErr w:type="spellEnd"/>
      <w:r w:rsidR="00997390">
        <w:t xml:space="preserve">, la </w:t>
      </w:r>
      <w:proofErr w:type="spellStart"/>
      <w:r w:rsidR="00997390">
        <w:rPr>
          <w:i/>
          <w:iCs/>
        </w:rPr>
        <w:t>virtù</w:t>
      </w:r>
      <w:proofErr w:type="spellEnd"/>
      <w:r w:rsidR="00997390">
        <w:t xml:space="preserve"> ou la </w:t>
      </w:r>
      <w:proofErr w:type="spellStart"/>
      <w:r w:rsidR="00997390">
        <w:rPr>
          <w:i/>
          <w:iCs/>
        </w:rPr>
        <w:t>qualità</w:t>
      </w:r>
      <w:proofErr w:type="spellEnd"/>
      <w:r w:rsidR="00997390">
        <w:rPr>
          <w:i/>
          <w:iCs/>
        </w:rPr>
        <w:t xml:space="preserve"> dei tempi</w:t>
      </w:r>
      <w:r w:rsidR="00997390">
        <w:t xml:space="preserve">, il montre combien il est tributaire des inflexions </w:t>
      </w:r>
      <w:r w:rsidR="009E2212">
        <w:t>antérieures</w:t>
      </w:r>
      <w:r w:rsidR="00997390">
        <w:t>. D</w:t>
      </w:r>
      <w:r w:rsidR="00645B5A">
        <w:t>’</w:t>
      </w:r>
      <w:r w:rsidR="00997390">
        <w:t>ailleurs, la raison d</w:t>
      </w:r>
      <w:r w:rsidR="00645B5A">
        <w:t>’</w:t>
      </w:r>
      <w:r w:rsidR="00997390">
        <w:t>État n</w:t>
      </w:r>
      <w:r w:rsidR="00645B5A">
        <w:t>’</w:t>
      </w:r>
      <w:r w:rsidR="00997390">
        <w:t>apparaît pas chez Machiavel puisque ce dernier parle d</w:t>
      </w:r>
      <w:r w:rsidR="00645B5A">
        <w:t>’</w:t>
      </w:r>
      <w:r w:rsidR="00997390">
        <w:t xml:space="preserve">une </w:t>
      </w:r>
      <w:r w:rsidR="00645B5A">
        <w:t>« </w:t>
      </w:r>
      <w:r w:rsidR="00997390">
        <w:t>raison du prince</w:t>
      </w:r>
      <w:r w:rsidR="00645B5A">
        <w:t> »</w:t>
      </w:r>
      <w:r w:rsidR="00997390">
        <w:t>. Il faut attendre Guichardin pour que l</w:t>
      </w:r>
      <w:r w:rsidR="00645B5A">
        <w:t>’</w:t>
      </w:r>
      <w:r w:rsidR="00997390">
        <w:t xml:space="preserve">expression </w:t>
      </w:r>
      <w:r w:rsidR="00545F49">
        <w:t>« </w:t>
      </w:r>
      <w:r w:rsidR="00997390">
        <w:t>raison d</w:t>
      </w:r>
      <w:r w:rsidR="00645B5A">
        <w:t>’</w:t>
      </w:r>
      <w:r w:rsidR="00997390">
        <w:t>État</w:t>
      </w:r>
      <w:r w:rsidR="00545F49">
        <w:t> »</w:t>
      </w:r>
      <w:r w:rsidR="00997390">
        <w:t xml:space="preserve"> apparaisse dans le </w:t>
      </w:r>
      <w:r w:rsidR="00997390">
        <w:rPr>
          <w:i/>
          <w:iCs/>
        </w:rPr>
        <w:t>Dialogue sur la façon de régir Florence</w:t>
      </w:r>
      <w:r w:rsidR="00997390">
        <w:t xml:space="preserve">, rédigé pendant les années 1520. Avec ces deux auteurs, est théorisée </w:t>
      </w:r>
      <w:r w:rsidR="00645B5A">
        <w:t>« </w:t>
      </w:r>
      <w:r w:rsidR="00997390">
        <w:t>l</w:t>
      </w:r>
      <w:r w:rsidR="00645B5A">
        <w:t>’</w:t>
      </w:r>
      <w:r w:rsidR="00997390">
        <w:t>expression formelle d</w:t>
      </w:r>
      <w:r w:rsidR="00645B5A">
        <w:t>’</w:t>
      </w:r>
      <w:r w:rsidR="00997390">
        <w:t>une capacité d</w:t>
      </w:r>
      <w:r w:rsidR="00645B5A">
        <w:t>’</w:t>
      </w:r>
      <w:r w:rsidR="00997390">
        <w:t>action pour les gouvernants, selon la nécessité des temps et les fins poursuivies de conservation et d</w:t>
      </w:r>
      <w:r w:rsidR="00645B5A">
        <w:t>’</w:t>
      </w:r>
      <w:r w:rsidR="00997390">
        <w:t>accroissement de l</w:t>
      </w:r>
      <w:r w:rsidR="00645B5A">
        <w:t>’</w:t>
      </w:r>
      <w:r w:rsidR="00997390">
        <w:t>État, et passant outre les distinctions morales, les préceptes religieux et les contraintes de la conscience</w:t>
      </w:r>
      <w:r w:rsidR="00645B5A">
        <w:t> »</w:t>
      </w:r>
      <w:r w:rsidR="00997390">
        <w:t xml:space="preserve"> (p. 399).</w:t>
      </w:r>
    </w:p>
    <w:p w14:paraId="500BBA05" w14:textId="759A9045" w:rsidR="006B0962" w:rsidRDefault="00997390" w:rsidP="005B4B3B">
      <w:pPr>
        <w:pStyle w:val="Corps"/>
      </w:pPr>
      <w:r>
        <w:t>C</w:t>
      </w:r>
      <w:r w:rsidR="00645B5A">
        <w:t>’</w:t>
      </w:r>
      <w:r>
        <w:t>est dans la réception de cette pensée au cours des décennies suivantes, jusqu</w:t>
      </w:r>
      <w:r w:rsidR="00645B5A">
        <w:t>’</w:t>
      </w:r>
      <w:r>
        <w:t>au moins le milieu du XVII</w:t>
      </w:r>
      <w:r>
        <w:rPr>
          <w:vertAlign w:val="superscript"/>
        </w:rPr>
        <w:t>e</w:t>
      </w:r>
      <w:r>
        <w:t xml:space="preserve"> siècle</w:t>
      </w:r>
      <w:r w:rsidR="00DD1033">
        <w:t>,</w:t>
      </w:r>
      <w:r>
        <w:t xml:space="preserve"> que se consolide la compréhension de la raison d</w:t>
      </w:r>
      <w:r w:rsidR="00645B5A">
        <w:t>’</w:t>
      </w:r>
      <w:r>
        <w:t>État, souvent lié</w:t>
      </w:r>
      <w:r w:rsidR="00843FA0">
        <w:t>e</w:t>
      </w:r>
      <w:r>
        <w:t xml:space="preserve"> à des lectures partielles ou biaisé</w:t>
      </w:r>
      <w:r w:rsidR="00843FA0">
        <w:t>es</w:t>
      </w:r>
      <w:r>
        <w:t xml:space="preserve"> de Machiavel. De ce point de vue, l</w:t>
      </w:r>
      <w:r w:rsidR="00645B5A">
        <w:t>’</w:t>
      </w:r>
      <w:r>
        <w:t>œuvre de Botero, cherchant à instaurer une raison d</w:t>
      </w:r>
      <w:r w:rsidR="00645B5A">
        <w:t>’</w:t>
      </w:r>
      <w:r>
        <w:t>État anti-machiavélienne</w:t>
      </w:r>
      <w:r w:rsidR="00093607">
        <w:t xml:space="preserve"> avec son ouvrage </w:t>
      </w:r>
      <w:r w:rsidR="00093607">
        <w:rPr>
          <w:i/>
          <w:iCs/>
        </w:rPr>
        <w:t>De la raison d</w:t>
      </w:r>
      <w:r w:rsidR="00645B5A">
        <w:rPr>
          <w:i/>
          <w:iCs/>
        </w:rPr>
        <w:t>’</w:t>
      </w:r>
      <w:r w:rsidR="00093607">
        <w:rPr>
          <w:i/>
          <w:iCs/>
        </w:rPr>
        <w:t>État</w:t>
      </w:r>
      <w:r w:rsidR="00093607">
        <w:t xml:space="preserve"> (1589), déplace encore le problème en créant une science de l</w:t>
      </w:r>
      <w:r w:rsidR="00645B5A">
        <w:t>’</w:t>
      </w:r>
      <w:r w:rsidR="00093607">
        <w:t xml:space="preserve">État dans laquelle il cherche à inclure toute la politique. </w:t>
      </w:r>
    </w:p>
    <w:p w14:paraId="2A7E2A13" w14:textId="50AC21B6" w:rsidR="00997390" w:rsidRPr="00093607" w:rsidRDefault="00093607" w:rsidP="005B4B3B">
      <w:pPr>
        <w:pStyle w:val="Corps"/>
        <w:rPr>
          <w:rFonts w:ascii="Segoe UI Symbol" w:hAnsi="Segoe UI Symbol"/>
        </w:rPr>
      </w:pPr>
      <w:r>
        <w:t>Ce deuxième temps de compréhension de la raison d</w:t>
      </w:r>
      <w:r w:rsidR="00645B5A">
        <w:t>’</w:t>
      </w:r>
      <w:r>
        <w:t>État e</w:t>
      </w:r>
      <w:r w:rsidR="00843FA0">
        <w:t>s</w:t>
      </w:r>
      <w:r>
        <w:t xml:space="preserve">t </w:t>
      </w:r>
      <w:r w:rsidR="00DD1033">
        <w:t>associé avec</w:t>
      </w:r>
      <w:r>
        <w:t xml:space="preserve"> un troisième temps, qui se déroule de façon concomitante, au cours duquel s</w:t>
      </w:r>
      <w:r w:rsidR="00645B5A">
        <w:t>’</w:t>
      </w:r>
      <w:r>
        <w:t xml:space="preserve">illustrent les juristes lettrés comme </w:t>
      </w:r>
      <w:proofErr w:type="spellStart"/>
      <w:r>
        <w:t>Scipione</w:t>
      </w:r>
      <w:proofErr w:type="spellEnd"/>
      <w:r>
        <w:t xml:space="preserve"> </w:t>
      </w:r>
      <w:proofErr w:type="spellStart"/>
      <w:r>
        <w:t>Ammirato</w:t>
      </w:r>
      <w:proofErr w:type="spellEnd"/>
      <w:r>
        <w:t xml:space="preserve"> ou Pietro Andrea </w:t>
      </w:r>
      <w:proofErr w:type="spellStart"/>
      <w:r>
        <w:t>Canonhiero</w:t>
      </w:r>
      <w:proofErr w:type="spellEnd"/>
      <w:r>
        <w:t>. À l</w:t>
      </w:r>
      <w:r w:rsidR="00645B5A">
        <w:t>’</w:t>
      </w:r>
      <w:r>
        <w:t>arrivée, l</w:t>
      </w:r>
      <w:r w:rsidR="00645B5A">
        <w:t>’</w:t>
      </w:r>
      <w:r>
        <w:t>auteur recense donc trois raisons d</w:t>
      </w:r>
      <w:r w:rsidR="00645B5A">
        <w:t>’</w:t>
      </w:r>
      <w:r>
        <w:t xml:space="preserve">État : la première, celle de Machiavel et </w:t>
      </w:r>
      <w:r>
        <w:lastRenderedPageBreak/>
        <w:t>Guichardin, instaure un droit de l</w:t>
      </w:r>
      <w:r w:rsidR="00645B5A">
        <w:t>’</w:t>
      </w:r>
      <w:r>
        <w:t>État dér</w:t>
      </w:r>
      <w:r w:rsidR="006B0962">
        <w:t>o</w:t>
      </w:r>
      <w:r>
        <w:t>geant à la loi commune</w:t>
      </w:r>
      <w:r w:rsidR="00362D54">
        <w:t xml:space="preserve"> ;</w:t>
      </w:r>
      <w:r>
        <w:t xml:space="preserve"> la seconde, celle de Botero, pose la raison d</w:t>
      </w:r>
      <w:r w:rsidR="00645B5A">
        <w:t>’</w:t>
      </w:r>
      <w:r>
        <w:t>État comme science de l</w:t>
      </w:r>
      <w:r w:rsidR="00645B5A">
        <w:t>’</w:t>
      </w:r>
      <w:r>
        <w:t xml:space="preserve">État </w:t>
      </w:r>
      <w:r w:rsidR="00362D54">
        <w:t>; la troisième, celles de lettrés férus de droit, dessine le cadre d</w:t>
      </w:r>
      <w:r w:rsidR="00645B5A">
        <w:t>’</w:t>
      </w:r>
      <w:r w:rsidR="00362D54">
        <w:t>opérativ</w:t>
      </w:r>
      <w:r w:rsidR="006B0962">
        <w:t>it</w:t>
      </w:r>
      <w:r w:rsidR="00362D54">
        <w:t>é de la raison d</w:t>
      </w:r>
      <w:r w:rsidR="00645B5A">
        <w:t>’</w:t>
      </w:r>
      <w:r w:rsidR="00362D54">
        <w:t>État mue par la nécessité impérieuse en vue de l</w:t>
      </w:r>
      <w:r w:rsidR="00645B5A">
        <w:t>’</w:t>
      </w:r>
      <w:r w:rsidR="00362D54">
        <w:t xml:space="preserve">intérêt général. </w:t>
      </w:r>
      <w:r>
        <w:t xml:space="preserve">Julien Le </w:t>
      </w:r>
      <w:proofErr w:type="spellStart"/>
      <w:r>
        <w:t>Mauff</w:t>
      </w:r>
      <w:proofErr w:type="spellEnd"/>
      <w:r>
        <w:t xml:space="preserve"> conclu</w:t>
      </w:r>
      <w:r w:rsidR="006B0962">
        <w:t>t</w:t>
      </w:r>
      <w:r>
        <w:t xml:space="preserve"> en rappelant que </w:t>
      </w:r>
      <w:r w:rsidR="00545F49">
        <w:t>« </w:t>
      </w:r>
      <w:r>
        <w:t>juxtaposées, les trois raisons d</w:t>
      </w:r>
      <w:r w:rsidR="00645B5A">
        <w:t>’</w:t>
      </w:r>
      <w:r>
        <w:t>État restituent par ailleurs l</w:t>
      </w:r>
      <w:r w:rsidR="00645B5A">
        <w:t>’</w:t>
      </w:r>
      <w:r>
        <w:t>ambiguïté fondamentale de la logique d</w:t>
      </w:r>
      <w:r w:rsidR="00645B5A">
        <w:t>’</w:t>
      </w:r>
      <w:r>
        <w:t>exception, toujours à la fois hors-la-loi et contenue en elle</w:t>
      </w:r>
      <w:r w:rsidR="00545F49">
        <w:t> »</w:t>
      </w:r>
      <w:r>
        <w:t xml:space="preserve"> </w:t>
      </w:r>
      <w:r w:rsidR="00545F49">
        <w:t>(</w:t>
      </w:r>
      <w:r>
        <w:t xml:space="preserve">p. 440). </w:t>
      </w:r>
    </w:p>
    <w:p w14:paraId="0B966008" w14:textId="240A8463" w:rsidR="00415CC0" w:rsidRDefault="00362D54" w:rsidP="00645B5A">
      <w:pPr>
        <w:pStyle w:val="Corps"/>
      </w:pPr>
      <w:r>
        <w:t>Ces développements respectent les évolutions des pensées politiques tout en gommant les tournants trop abrupts et les tendances à parler de révolution ou de bouleversement annonciateur de la modernité. Néanmoins, malgré toute la finesse de lecture mise en avant par l</w:t>
      </w:r>
      <w:r w:rsidR="00645B5A">
        <w:t>’</w:t>
      </w:r>
      <w:r>
        <w:t>auteur et le souci de respecter l</w:t>
      </w:r>
      <w:r w:rsidR="00645B5A">
        <w:t>’</w:t>
      </w:r>
      <w:r>
        <w:t xml:space="preserve">esprit des textes, </w:t>
      </w:r>
      <w:r w:rsidR="00AD1A7D">
        <w:t>la rupture apportée</w:t>
      </w:r>
      <w:r>
        <w:t xml:space="preserve"> par l</w:t>
      </w:r>
      <w:r w:rsidR="00645B5A">
        <w:t>’</w:t>
      </w:r>
      <w:r>
        <w:t>humanisme florentin apparaît quelque peu relativisée. C</w:t>
      </w:r>
      <w:r w:rsidR="00645B5A">
        <w:t>’</w:t>
      </w:r>
      <w:r>
        <w:t xml:space="preserve">est </w:t>
      </w:r>
      <w:r w:rsidR="00AF240F">
        <w:t xml:space="preserve">en effet </w:t>
      </w:r>
      <w:r>
        <w:t>tout le sens de l</w:t>
      </w:r>
      <w:r w:rsidR="00645B5A">
        <w:t>’</w:t>
      </w:r>
      <w:r>
        <w:t>approche généalogique que d</w:t>
      </w:r>
      <w:r w:rsidR="00645B5A">
        <w:t>’</w:t>
      </w:r>
      <w:r>
        <w:t xml:space="preserve">établir un continuum de pensées sensible aux inflexions et aux subtiles recompositions. Elle appelle </w:t>
      </w:r>
      <w:r w:rsidR="00394AD7">
        <w:t xml:space="preserve">alors </w:t>
      </w:r>
      <w:r>
        <w:t>à discuter d</w:t>
      </w:r>
      <w:r w:rsidR="00645B5A">
        <w:t>’</w:t>
      </w:r>
      <w:r>
        <w:t xml:space="preserve">une spécificité de la Renaissance ou de la première modernité. </w:t>
      </w:r>
    </w:p>
    <w:p w14:paraId="3E06BD37" w14:textId="21FF86A5" w:rsidR="00415CC0" w:rsidRPr="00415CC0" w:rsidRDefault="00167A40" w:rsidP="00645B5A">
      <w:pPr>
        <w:pStyle w:val="VDIIntertitre"/>
      </w:pPr>
      <w:r>
        <w:t>De la raison d</w:t>
      </w:r>
      <w:r w:rsidR="00645B5A">
        <w:t>’</w:t>
      </w:r>
      <w:r>
        <w:rPr>
          <w:rFonts w:ascii="Palatino Linotype" w:hAnsi="Palatino Linotype"/>
        </w:rPr>
        <w:t>État à l</w:t>
      </w:r>
      <w:r w:rsidR="00645B5A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État d</w:t>
      </w:r>
      <w:r w:rsidR="00645B5A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urgence</w:t>
      </w:r>
    </w:p>
    <w:p w14:paraId="70A873E5" w14:textId="437F306A" w:rsidR="00651811" w:rsidRPr="002A6FDE" w:rsidRDefault="00E6693D" w:rsidP="005B4B3B">
      <w:pPr>
        <w:pStyle w:val="Corps"/>
      </w:pPr>
      <w:r>
        <w:t>La réflexion sur la raison d</w:t>
      </w:r>
      <w:r w:rsidR="00645B5A">
        <w:t>’</w:t>
      </w:r>
      <w:r>
        <w:t>État, outre les clarification</w:t>
      </w:r>
      <w:r w:rsidR="00843FA0">
        <w:t>s</w:t>
      </w:r>
      <w:r>
        <w:t xml:space="preserve"> qu</w:t>
      </w:r>
      <w:r w:rsidR="00645B5A">
        <w:t>’</w:t>
      </w:r>
      <w:r>
        <w:t xml:space="preserve">elle apporte, </w:t>
      </w:r>
      <w:r w:rsidR="00A719BE">
        <w:t>fait écho à la</w:t>
      </w:r>
      <w:r>
        <w:t xml:space="preserve"> marche du monde contemporain. Les débats autour de l</w:t>
      </w:r>
      <w:r w:rsidR="00645B5A">
        <w:t>’</w:t>
      </w:r>
      <w:r>
        <w:t>État d</w:t>
      </w:r>
      <w:r w:rsidR="00645B5A">
        <w:t>’</w:t>
      </w:r>
      <w:r>
        <w:t>urgence entre novembre 2015 et novembre 2017 rendent l</w:t>
      </w:r>
      <w:r w:rsidR="00645B5A">
        <w:t>’</w:t>
      </w:r>
      <w:r>
        <w:t>actualité de cette question brûlante</w:t>
      </w:r>
      <w:r>
        <w:rPr>
          <w:rStyle w:val="Appelnotedebasdep"/>
        </w:rPr>
        <w:footnoteReference w:id="7"/>
      </w:r>
      <w:r>
        <w:t>.</w:t>
      </w:r>
      <w:r w:rsidR="00FA1906">
        <w:t xml:space="preserve"> Déjà, à la suite du 11 septembre 2001, le développement d</w:t>
      </w:r>
      <w:r w:rsidR="00645B5A">
        <w:t>’</w:t>
      </w:r>
      <w:r w:rsidR="00FA1906">
        <w:t>espace</w:t>
      </w:r>
      <w:r w:rsidR="00843FA0">
        <w:t>s</w:t>
      </w:r>
      <w:r w:rsidR="00FA1906">
        <w:t xml:space="preserve"> extra-légaux en raison de leur extraterritorialité, </w:t>
      </w:r>
      <w:r w:rsidR="00925FF7">
        <w:t xml:space="preserve">dont le plus célèbre reste </w:t>
      </w:r>
      <w:r w:rsidR="00FA1906">
        <w:t>Guantanamo</w:t>
      </w:r>
      <w:r w:rsidR="00952714">
        <w:t>,</w:t>
      </w:r>
      <w:r w:rsidR="00FA1906">
        <w:t xml:space="preserve"> ont fait de la raison d</w:t>
      </w:r>
      <w:r w:rsidR="00645B5A">
        <w:t>’</w:t>
      </w:r>
      <w:r w:rsidR="00FA1906">
        <w:t xml:space="preserve">État un enjeu politique </w:t>
      </w:r>
      <w:r w:rsidR="00952714">
        <w:t>réel</w:t>
      </w:r>
      <w:r w:rsidR="00FA1906">
        <w:t xml:space="preserve">. </w:t>
      </w:r>
      <w:r w:rsidR="004C12BC">
        <w:t>L</w:t>
      </w:r>
      <w:r w:rsidR="00645B5A">
        <w:t>’</w:t>
      </w:r>
      <w:r w:rsidR="004C12BC">
        <w:t>emploi</w:t>
      </w:r>
      <w:r w:rsidR="00FA1906">
        <w:t xml:space="preserve"> de formes d</w:t>
      </w:r>
      <w:r w:rsidR="00645B5A">
        <w:t>’</w:t>
      </w:r>
      <w:r w:rsidR="00FA1906">
        <w:t>argumentation ou de discours mettant en avant l</w:t>
      </w:r>
      <w:r w:rsidR="00645B5A">
        <w:t>’</w:t>
      </w:r>
      <w:r w:rsidR="00FA1906">
        <w:t xml:space="preserve">urgence marque un recul de la démocratie libérale et celui-ci se </w:t>
      </w:r>
      <w:r w:rsidR="00B000E3">
        <w:t xml:space="preserve">voit </w:t>
      </w:r>
      <w:r w:rsidR="00FA1906">
        <w:t>d</w:t>
      </w:r>
      <w:r w:rsidR="00645B5A">
        <w:t>’</w:t>
      </w:r>
      <w:r w:rsidR="00FA1906">
        <w:t>autant plus quand on sait d</w:t>
      </w:r>
      <w:r w:rsidR="00645B5A">
        <w:t>’</w:t>
      </w:r>
      <w:r w:rsidR="00FA1906">
        <w:t>où vient l</w:t>
      </w:r>
      <w:r w:rsidR="00645B5A">
        <w:t>’</w:t>
      </w:r>
      <w:r w:rsidR="00FA1906">
        <w:t>emploi de ces arguments. L</w:t>
      </w:r>
      <w:r w:rsidR="00645B5A">
        <w:t>’</w:t>
      </w:r>
      <w:r w:rsidR="00FA1906">
        <w:t>histoire rétrospective de la raison d</w:t>
      </w:r>
      <w:r w:rsidR="00645B5A">
        <w:t>’</w:t>
      </w:r>
      <w:r w:rsidR="00FA1906">
        <w:t>État</w:t>
      </w:r>
      <w:r w:rsidR="001F71AF">
        <w:t>, toujours finement délimitée au sein d</w:t>
      </w:r>
      <w:r w:rsidR="00645B5A">
        <w:t>’</w:t>
      </w:r>
      <w:r w:rsidR="005B567D">
        <w:rPr>
          <w:rFonts w:ascii="Palatino Linotype" w:hAnsi="Palatino Linotype"/>
        </w:rPr>
        <w:t>É</w:t>
      </w:r>
      <w:r w:rsidR="001F71AF">
        <w:t>tats dont la forme évolue,</w:t>
      </w:r>
      <w:r w:rsidR="00FA1906">
        <w:t xml:space="preserve"> permet de mesurer le chemin parcouru depuis, mais également les risques de régressions contemporains</w:t>
      </w:r>
      <w:r w:rsidR="00FA1906">
        <w:rPr>
          <w:rStyle w:val="Appelnotedebasdep"/>
        </w:rPr>
        <w:footnoteReference w:id="8"/>
      </w:r>
      <w:r w:rsidR="00FA1906">
        <w:t>. C</w:t>
      </w:r>
      <w:r w:rsidR="00645B5A">
        <w:t>’</w:t>
      </w:r>
      <w:r w:rsidR="00FA1906">
        <w:t xml:space="preserve">est </w:t>
      </w:r>
      <w:r w:rsidR="005B567D">
        <w:t>un des derniers apports de ce livre</w:t>
      </w:r>
      <w:r w:rsidR="00FA1906">
        <w:t xml:space="preserve">, et pas </w:t>
      </w:r>
      <w:r w:rsidR="00FA1906">
        <w:lastRenderedPageBreak/>
        <w:t>l</w:t>
      </w:r>
      <w:r w:rsidR="005B567D">
        <w:t>e</w:t>
      </w:r>
      <w:r w:rsidR="00FA1906">
        <w:t xml:space="preserve"> plus rassurant</w:t>
      </w:r>
      <w:r w:rsidR="005B567D">
        <w:t>,</w:t>
      </w:r>
      <w:r w:rsidR="00FA1906">
        <w:t xml:space="preserve"> que donner à voir les fragilités inhérentes </w:t>
      </w:r>
      <w:r w:rsidR="00843FA0">
        <w:t>à</w:t>
      </w:r>
      <w:r w:rsidR="00FA1906">
        <w:t xml:space="preserve"> notre présent, fruit d</w:t>
      </w:r>
      <w:r w:rsidR="00645B5A">
        <w:t>’</w:t>
      </w:r>
      <w:r w:rsidR="00FA1906">
        <w:t>une histoire politique complexe.</w:t>
      </w:r>
    </w:p>
    <w:p w14:paraId="4FDF0512" w14:textId="32F2C39C" w:rsidR="0063372A" w:rsidRDefault="0063372A" w:rsidP="0063372A">
      <w:pPr>
        <w:pStyle w:val="VDIdate"/>
      </w:pPr>
      <w:r>
        <w:t>Publié dans lavi</w:t>
      </w:r>
      <w:r w:rsidR="006E7A74">
        <w:t>e</w:t>
      </w:r>
      <w:r>
        <w:t>desidees.fr, le</w:t>
      </w:r>
      <w:r w:rsidR="008F3232">
        <w:t xml:space="preserve"> </w:t>
      </w:r>
      <w:r w:rsidR="00AA01A6">
        <w:t xml:space="preserve">25 </w:t>
      </w:r>
      <w:r w:rsidR="00645B5A">
        <w:t>octobre</w:t>
      </w:r>
      <w:r w:rsidR="005B4B3B">
        <w:t xml:space="preserve"> </w:t>
      </w:r>
      <w:r w:rsidR="00294B2B">
        <w:t>2022</w:t>
      </w:r>
      <w:r>
        <w:t>.</w:t>
      </w:r>
    </w:p>
    <w:sectPr w:rsidR="0063372A" w:rsidSect="00472187"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2F6F" w14:textId="77777777" w:rsidR="003216A8" w:rsidRDefault="003216A8">
      <w:r>
        <w:separator/>
      </w:r>
    </w:p>
  </w:endnote>
  <w:endnote w:type="continuationSeparator" w:id="0">
    <w:p w14:paraId="41EBB6E6" w14:textId="77777777" w:rsidR="003216A8" w:rsidRDefault="0032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libri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1BD5" w14:textId="77777777"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8E40" w14:textId="77777777" w:rsidR="003216A8" w:rsidRDefault="003216A8">
      <w:r>
        <w:separator/>
      </w:r>
    </w:p>
  </w:footnote>
  <w:footnote w:type="continuationSeparator" w:id="0">
    <w:p w14:paraId="2B8600DC" w14:textId="77777777" w:rsidR="003216A8" w:rsidRDefault="003216A8">
      <w:r>
        <w:continuationSeparator/>
      </w:r>
    </w:p>
  </w:footnote>
  <w:footnote w:id="1">
    <w:p w14:paraId="0385199A" w14:textId="66A233D7" w:rsidR="0041624D" w:rsidRPr="00645B5A" w:rsidRDefault="0041624D" w:rsidP="00AE4972">
      <w:pPr>
        <w:pStyle w:val="Notedebasdepage"/>
        <w:jc w:val="both"/>
      </w:pPr>
      <w:r>
        <w:rPr>
          <w:rStyle w:val="Appelnotedebasdep"/>
        </w:rPr>
        <w:footnoteRef/>
      </w:r>
      <w:r w:rsidRPr="0041624D">
        <w:rPr>
          <w:lang w:val="en-GB"/>
        </w:rPr>
        <w:t xml:space="preserve"> </w:t>
      </w:r>
      <w:r>
        <w:rPr>
          <w:lang w:val="en-GB"/>
        </w:rPr>
        <w:t xml:space="preserve">Gaines Post, </w:t>
      </w:r>
      <w:r w:rsidRPr="0041624D">
        <w:rPr>
          <w:lang w:val="en-GB"/>
        </w:rPr>
        <w:t xml:space="preserve">« Ratio </w:t>
      </w:r>
      <w:proofErr w:type="spellStart"/>
      <w:r w:rsidRPr="0041624D">
        <w:rPr>
          <w:lang w:val="en-GB"/>
        </w:rPr>
        <w:t>publicæ</w:t>
      </w:r>
      <w:proofErr w:type="spellEnd"/>
      <w:r w:rsidRPr="0041624D">
        <w:rPr>
          <w:lang w:val="en-GB"/>
        </w:rPr>
        <w:t xml:space="preserve"> </w:t>
      </w:r>
      <w:proofErr w:type="spellStart"/>
      <w:r w:rsidRPr="0041624D">
        <w:rPr>
          <w:lang w:val="en-GB"/>
        </w:rPr>
        <w:t>utilitatis</w:t>
      </w:r>
      <w:proofErr w:type="spellEnd"/>
      <w:r w:rsidRPr="0041624D">
        <w:rPr>
          <w:lang w:val="en-GB"/>
        </w:rPr>
        <w:t>, Ratio status and “Reason of State”, 1100-1300 »,</w:t>
      </w:r>
      <w:r>
        <w:rPr>
          <w:lang w:val="en-GB"/>
        </w:rPr>
        <w:t xml:space="preserve"> dans</w:t>
      </w:r>
      <w:r w:rsidRPr="0041624D">
        <w:rPr>
          <w:lang w:val="en-GB"/>
        </w:rPr>
        <w:t xml:space="preserve"> </w:t>
      </w:r>
      <w:r w:rsidRPr="0041624D">
        <w:rPr>
          <w:i/>
          <w:iCs/>
          <w:lang w:val="en-GB"/>
        </w:rPr>
        <w:t xml:space="preserve">Die Welt </w:t>
      </w:r>
      <w:proofErr w:type="spellStart"/>
      <w:r w:rsidRPr="0041624D">
        <w:rPr>
          <w:i/>
          <w:iCs/>
          <w:lang w:val="en-GB"/>
        </w:rPr>
        <w:t>als</w:t>
      </w:r>
      <w:proofErr w:type="spellEnd"/>
      <w:r w:rsidRPr="0041624D">
        <w:rPr>
          <w:i/>
          <w:iCs/>
          <w:lang w:val="en-GB"/>
        </w:rPr>
        <w:t xml:space="preserve"> </w:t>
      </w:r>
      <w:proofErr w:type="spellStart"/>
      <w:r w:rsidRPr="0041624D">
        <w:rPr>
          <w:i/>
          <w:iCs/>
          <w:lang w:val="en-GB"/>
        </w:rPr>
        <w:t>Geschichte</w:t>
      </w:r>
      <w:proofErr w:type="spellEnd"/>
      <w:r w:rsidRPr="0041624D">
        <w:rPr>
          <w:lang w:val="en-GB"/>
        </w:rPr>
        <w:t xml:space="preserve">, XXI (1961), p. 8-28, 71-99, </w:t>
      </w:r>
      <w:proofErr w:type="spellStart"/>
      <w:r w:rsidRPr="0041624D">
        <w:rPr>
          <w:lang w:val="en-GB"/>
        </w:rPr>
        <w:t>réimpr</w:t>
      </w:r>
      <w:proofErr w:type="spellEnd"/>
      <w:r w:rsidRPr="0041624D">
        <w:rPr>
          <w:lang w:val="en-GB"/>
        </w:rPr>
        <w:t xml:space="preserve">. dans </w:t>
      </w:r>
      <w:r w:rsidRPr="0041624D">
        <w:rPr>
          <w:i/>
          <w:iCs/>
          <w:lang w:val="en-GB"/>
        </w:rPr>
        <w:t>Studies in Medieval Legal Thought. Public Law and the State</w:t>
      </w:r>
      <w:r w:rsidRPr="0041624D">
        <w:rPr>
          <w:lang w:val="en-GB"/>
        </w:rPr>
        <w:t xml:space="preserve">, 1100-1322, Princeton, Princeton University Press, 1964, p. 241-309, trad. </w:t>
      </w:r>
      <w:proofErr w:type="spellStart"/>
      <w:r w:rsidRPr="0041624D">
        <w:rPr>
          <w:lang w:val="en-GB"/>
        </w:rPr>
        <w:t>fr.</w:t>
      </w:r>
      <w:proofErr w:type="spellEnd"/>
      <w:r w:rsidRPr="0041624D">
        <w:rPr>
          <w:lang w:val="en-GB"/>
        </w:rPr>
        <w:t xml:space="preserve"> </w:t>
      </w:r>
      <w:r w:rsidRPr="00645B5A">
        <w:t>Jean-Pierre Chrétien-</w:t>
      </w:r>
      <w:proofErr w:type="spellStart"/>
      <w:r w:rsidRPr="00645B5A">
        <w:t>Goni</w:t>
      </w:r>
      <w:proofErr w:type="spellEnd"/>
      <w:r w:rsidRPr="00645B5A">
        <w:t xml:space="preserve">, « Ratio </w:t>
      </w:r>
      <w:proofErr w:type="spellStart"/>
      <w:r w:rsidRPr="00645B5A">
        <w:t>publicae</w:t>
      </w:r>
      <w:proofErr w:type="spellEnd"/>
      <w:r w:rsidRPr="00645B5A">
        <w:t xml:space="preserve"> </w:t>
      </w:r>
      <w:proofErr w:type="spellStart"/>
      <w:r w:rsidRPr="00645B5A">
        <w:t>utilitatis</w:t>
      </w:r>
      <w:proofErr w:type="spellEnd"/>
      <w:r w:rsidRPr="00645B5A">
        <w:t xml:space="preserve">, ratio </w:t>
      </w:r>
      <w:proofErr w:type="spellStart"/>
      <w:r w:rsidRPr="00645B5A">
        <w:t>status</w:t>
      </w:r>
      <w:proofErr w:type="spellEnd"/>
      <w:r w:rsidRPr="00645B5A">
        <w:t xml:space="preserve"> et “raison d</w:t>
      </w:r>
      <w:r w:rsidR="00645B5A">
        <w:t>’</w:t>
      </w:r>
      <w:r w:rsidRPr="00645B5A">
        <w:t xml:space="preserve">État” (1100-1300) », dans </w:t>
      </w:r>
      <w:r w:rsidRPr="00645B5A">
        <w:rPr>
          <w:i/>
          <w:iCs/>
        </w:rPr>
        <w:t xml:space="preserve">Le </w:t>
      </w:r>
      <w:r w:rsidR="00580740" w:rsidRPr="00645B5A">
        <w:rPr>
          <w:i/>
          <w:iCs/>
        </w:rPr>
        <w:t>P</w:t>
      </w:r>
      <w:r w:rsidRPr="00645B5A">
        <w:rPr>
          <w:i/>
          <w:iCs/>
        </w:rPr>
        <w:t>ouvoir de la raison d</w:t>
      </w:r>
      <w:r w:rsidR="00645B5A">
        <w:rPr>
          <w:i/>
          <w:iCs/>
        </w:rPr>
        <w:t>’</w:t>
      </w:r>
      <w:r w:rsidRPr="00645B5A">
        <w:rPr>
          <w:i/>
          <w:iCs/>
        </w:rPr>
        <w:t>État</w:t>
      </w:r>
      <w:r w:rsidRPr="00645B5A">
        <w:t xml:space="preserve">, Christian </w:t>
      </w:r>
      <w:proofErr w:type="spellStart"/>
      <w:r w:rsidRPr="00645B5A">
        <w:t>Lazzeri</w:t>
      </w:r>
      <w:proofErr w:type="spellEnd"/>
      <w:r w:rsidRPr="00645B5A">
        <w:t xml:space="preserve">, Dominique </w:t>
      </w:r>
      <w:proofErr w:type="spellStart"/>
      <w:r w:rsidRPr="00645B5A">
        <w:t>Reynié</w:t>
      </w:r>
      <w:proofErr w:type="spellEnd"/>
      <w:r w:rsidRPr="00645B5A">
        <w:t xml:space="preserve"> (</w:t>
      </w:r>
      <w:proofErr w:type="spellStart"/>
      <w:r w:rsidRPr="00645B5A">
        <w:t>dir</w:t>
      </w:r>
      <w:proofErr w:type="spellEnd"/>
      <w:r w:rsidRPr="00645B5A">
        <w:t xml:space="preserve">.), Paris, </w:t>
      </w:r>
      <w:proofErr w:type="spellStart"/>
      <w:r w:rsidRPr="00645B5A">
        <w:t>P</w:t>
      </w:r>
      <w:r w:rsidR="00645B5A">
        <w:t>uf</w:t>
      </w:r>
      <w:proofErr w:type="spellEnd"/>
      <w:r w:rsidRPr="00645B5A">
        <w:t>, 1992, p. 13-</w:t>
      </w:r>
      <w:proofErr w:type="gramStart"/>
      <w:r w:rsidRPr="00645B5A">
        <w:t>90</w:t>
      </w:r>
      <w:r w:rsidR="004336F0" w:rsidRPr="00645B5A">
        <w:t xml:space="preserve"> ;</w:t>
      </w:r>
      <w:proofErr w:type="gramEnd"/>
      <w:r w:rsidR="004336F0" w:rsidRPr="00645B5A">
        <w:t xml:space="preserve"> Helene </w:t>
      </w:r>
      <w:proofErr w:type="spellStart"/>
      <w:r w:rsidR="004336F0" w:rsidRPr="00645B5A">
        <w:t>Wieruszowski</w:t>
      </w:r>
      <w:proofErr w:type="spellEnd"/>
      <w:r w:rsidR="004336F0" w:rsidRPr="00645B5A">
        <w:t xml:space="preserve">, « Roger II of </w:t>
      </w:r>
      <w:proofErr w:type="spellStart"/>
      <w:r w:rsidR="004336F0" w:rsidRPr="00645B5A">
        <w:t>Sicily</w:t>
      </w:r>
      <w:proofErr w:type="spellEnd"/>
      <w:r w:rsidR="004336F0" w:rsidRPr="00645B5A">
        <w:t>, Rex-</w:t>
      </w:r>
      <w:proofErr w:type="spellStart"/>
      <w:r w:rsidR="004336F0" w:rsidRPr="00645B5A">
        <w:t>Tyrannus</w:t>
      </w:r>
      <w:proofErr w:type="spellEnd"/>
      <w:r w:rsidR="004336F0" w:rsidRPr="00645B5A">
        <w:t xml:space="preserve">, in </w:t>
      </w:r>
      <w:proofErr w:type="spellStart"/>
      <w:r w:rsidR="004336F0" w:rsidRPr="00645B5A">
        <w:t>Twelfth</w:t>
      </w:r>
      <w:proofErr w:type="spellEnd"/>
      <w:r w:rsidR="004336F0" w:rsidRPr="00645B5A">
        <w:t xml:space="preserve">-Century </w:t>
      </w:r>
      <w:proofErr w:type="spellStart"/>
      <w:r w:rsidR="004336F0" w:rsidRPr="00645B5A">
        <w:t>Political</w:t>
      </w:r>
      <w:proofErr w:type="spellEnd"/>
      <w:r w:rsidR="004336F0" w:rsidRPr="00645B5A">
        <w:t xml:space="preserve"> </w:t>
      </w:r>
      <w:proofErr w:type="spellStart"/>
      <w:r w:rsidR="004336F0" w:rsidRPr="00645B5A">
        <w:t>Thought</w:t>
      </w:r>
      <w:proofErr w:type="spellEnd"/>
      <w:r w:rsidR="004336F0" w:rsidRPr="00645B5A">
        <w:t xml:space="preserve"> », dans </w:t>
      </w:r>
      <w:r w:rsidR="004336F0" w:rsidRPr="00645B5A">
        <w:rPr>
          <w:i/>
          <w:iCs/>
        </w:rPr>
        <w:t>Speculum</w:t>
      </w:r>
      <w:r w:rsidR="004336F0" w:rsidRPr="00645B5A">
        <w:t>, vol. 38, 1963, p. 46-78.</w:t>
      </w:r>
    </w:p>
  </w:footnote>
  <w:footnote w:id="2">
    <w:p w14:paraId="7F69A68D" w14:textId="6BE77E40" w:rsidR="00216D69" w:rsidRDefault="00216D69" w:rsidP="00AE497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Miche</w:t>
      </w:r>
      <w:r w:rsidR="00651811">
        <w:t xml:space="preserve">l </w:t>
      </w:r>
      <w:proofErr w:type="spellStart"/>
      <w:r w:rsidR="00651811">
        <w:t>Senellart</w:t>
      </w:r>
      <w:proofErr w:type="spellEnd"/>
      <w:r w:rsidR="00651811">
        <w:t xml:space="preserve">, </w:t>
      </w:r>
      <w:r w:rsidR="00651811" w:rsidRPr="00651811">
        <w:rPr>
          <w:i/>
          <w:iCs/>
        </w:rPr>
        <w:t>Les Arts de gouverner. Du "</w:t>
      </w:r>
      <w:proofErr w:type="spellStart"/>
      <w:r w:rsidR="00651811">
        <w:t>regimen</w:t>
      </w:r>
      <w:proofErr w:type="spellEnd"/>
      <w:r w:rsidR="00651811" w:rsidRPr="00651811">
        <w:rPr>
          <w:i/>
          <w:iCs/>
        </w:rPr>
        <w:t>" médiéval au concept de gouvernement</w:t>
      </w:r>
      <w:r w:rsidR="00651811">
        <w:t>, Paris, Seuil, 1995.</w:t>
      </w:r>
    </w:p>
  </w:footnote>
  <w:footnote w:id="3">
    <w:p w14:paraId="2E561A41" w14:textId="3B333942" w:rsidR="00842780" w:rsidRPr="00842780" w:rsidRDefault="00842780" w:rsidP="00AE497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Paul Veyne, </w:t>
      </w:r>
      <w:r w:rsidR="00645B5A">
        <w:t>« </w:t>
      </w:r>
      <w:r>
        <w:t>L</w:t>
      </w:r>
      <w:r w:rsidR="00645B5A">
        <w:t>’</w:t>
      </w:r>
      <w:r>
        <w:t xml:space="preserve">histoire </w:t>
      </w:r>
      <w:proofErr w:type="spellStart"/>
      <w:r>
        <w:t>conceptualisante</w:t>
      </w:r>
      <w:proofErr w:type="spellEnd"/>
      <w:r w:rsidR="00645B5A">
        <w:t> »</w:t>
      </w:r>
      <w:r>
        <w:t xml:space="preserve">, </w:t>
      </w:r>
      <w:r w:rsidR="00D403CB">
        <w:t xml:space="preserve">dans </w:t>
      </w:r>
      <w:r w:rsidR="00D403CB" w:rsidRPr="00D403CB">
        <w:rPr>
          <w:i/>
          <w:iCs/>
        </w:rPr>
        <w:t>Faire</w:t>
      </w:r>
      <w:r w:rsidRPr="00842780">
        <w:rPr>
          <w:i/>
          <w:iCs/>
        </w:rPr>
        <w:t xml:space="preserve"> de l</w:t>
      </w:r>
      <w:r w:rsidR="00645B5A">
        <w:rPr>
          <w:i/>
          <w:iCs/>
        </w:rPr>
        <w:t>’</w:t>
      </w:r>
      <w:r w:rsidRPr="00842780">
        <w:rPr>
          <w:i/>
          <w:iCs/>
        </w:rPr>
        <w:t>histoire. Nouveaux problèmes, nouvelles approches, nouveaux objets</w:t>
      </w:r>
      <w:r w:rsidRPr="00842780">
        <w:t xml:space="preserve">, tome I : </w:t>
      </w:r>
      <w:r w:rsidRPr="00842780">
        <w:rPr>
          <w:i/>
          <w:iCs/>
        </w:rPr>
        <w:t>Nouveaux problèmes</w:t>
      </w:r>
      <w:r>
        <w:t>, Jacques le Goff et Pierre Nora (</w:t>
      </w:r>
      <w:proofErr w:type="spellStart"/>
      <w:r>
        <w:t>dir</w:t>
      </w:r>
      <w:proofErr w:type="spellEnd"/>
      <w:r>
        <w:t>.), Paris, Gallimard, 1974, p. 92-131.</w:t>
      </w:r>
    </w:p>
  </w:footnote>
  <w:footnote w:id="4">
    <w:p w14:paraId="45CF6237" w14:textId="53070059" w:rsidR="00A06C29" w:rsidRDefault="00A06C29" w:rsidP="00AE497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Jacques </w:t>
      </w:r>
      <w:proofErr w:type="spellStart"/>
      <w:r>
        <w:t>Krynen</w:t>
      </w:r>
      <w:proofErr w:type="spellEnd"/>
      <w:r>
        <w:t>,</w:t>
      </w:r>
      <w:r w:rsidRPr="00A06C29">
        <w:t xml:space="preserve"> </w:t>
      </w:r>
      <w:r w:rsidRPr="00A06C29">
        <w:rPr>
          <w:i/>
          <w:iCs/>
        </w:rPr>
        <w:t>L</w:t>
      </w:r>
      <w:r w:rsidR="00645B5A">
        <w:rPr>
          <w:i/>
          <w:iCs/>
        </w:rPr>
        <w:t>’</w:t>
      </w:r>
      <w:r w:rsidRPr="00A06C29">
        <w:rPr>
          <w:i/>
          <w:iCs/>
        </w:rPr>
        <w:t>empire du roi : idées et croyances politiques en France, XIII</w:t>
      </w:r>
      <w:r>
        <w:rPr>
          <w:i/>
          <w:iCs/>
          <w:vertAlign w:val="superscript"/>
        </w:rPr>
        <w:t>e</w:t>
      </w:r>
      <w:r w:rsidRPr="00A06C29">
        <w:rPr>
          <w:i/>
          <w:iCs/>
        </w:rPr>
        <w:t> – XV</w:t>
      </w:r>
      <w:r w:rsidRPr="00A06C29">
        <w:rPr>
          <w:i/>
          <w:iCs/>
          <w:vertAlign w:val="superscript"/>
        </w:rPr>
        <w:t>e</w:t>
      </w:r>
      <w:r w:rsidRPr="00A06C29">
        <w:rPr>
          <w:i/>
          <w:iCs/>
        </w:rPr>
        <w:t xml:space="preserve"> siècle</w:t>
      </w:r>
      <w:r w:rsidRPr="00A06C29">
        <w:t>, Paris, Gallimard,</w:t>
      </w:r>
      <w:r>
        <w:t xml:space="preserve"> 1993, p. 160. Voir aussi Yves </w:t>
      </w:r>
      <w:proofErr w:type="spellStart"/>
      <w:r>
        <w:t>Sassier</w:t>
      </w:r>
      <w:proofErr w:type="spellEnd"/>
      <w:r>
        <w:t xml:space="preserve">, </w:t>
      </w:r>
      <w:r w:rsidR="00645B5A">
        <w:t>« </w:t>
      </w:r>
      <w:r w:rsidRPr="00A06C29">
        <w:t xml:space="preserve">La </w:t>
      </w:r>
      <w:r w:rsidRPr="00A06C29">
        <w:rPr>
          <w:i/>
          <w:iCs/>
        </w:rPr>
        <w:t xml:space="preserve">Corona </w:t>
      </w:r>
      <w:proofErr w:type="spellStart"/>
      <w:r w:rsidRPr="00A06C29">
        <w:rPr>
          <w:i/>
          <w:iCs/>
        </w:rPr>
        <w:t>regni</w:t>
      </w:r>
      <w:proofErr w:type="spellEnd"/>
      <w:r w:rsidRPr="00A06C29">
        <w:t xml:space="preserve"> : émergence d</w:t>
      </w:r>
      <w:r w:rsidR="00645B5A">
        <w:t>’</w:t>
      </w:r>
      <w:r w:rsidRPr="00A06C29">
        <w:t xml:space="preserve">une </w:t>
      </w:r>
      <w:r w:rsidRPr="00A06C29">
        <w:rPr>
          <w:i/>
          <w:iCs/>
        </w:rPr>
        <w:t xml:space="preserve">persona </w:t>
      </w:r>
      <w:proofErr w:type="spellStart"/>
      <w:r w:rsidRPr="00A06C29">
        <w:rPr>
          <w:i/>
          <w:iCs/>
        </w:rPr>
        <w:t>ficta</w:t>
      </w:r>
      <w:proofErr w:type="spellEnd"/>
      <w:r w:rsidRPr="00A06C29">
        <w:t xml:space="preserve"> dans la France du XII</w:t>
      </w:r>
      <w:r w:rsidRPr="00A06C29">
        <w:rPr>
          <w:vertAlign w:val="superscript"/>
        </w:rPr>
        <w:t>e</w:t>
      </w:r>
      <w:r w:rsidRPr="00A06C29">
        <w:t xml:space="preserve"> siècle</w:t>
      </w:r>
      <w:r w:rsidR="00645B5A">
        <w:t> »</w:t>
      </w:r>
      <w:r>
        <w:t xml:space="preserve">, dans </w:t>
      </w:r>
      <w:r w:rsidRPr="00A06C29">
        <w:rPr>
          <w:i/>
          <w:iCs/>
        </w:rPr>
        <w:t>La puissance royale</w:t>
      </w:r>
      <w:r>
        <w:t xml:space="preserve">. </w:t>
      </w:r>
      <w:r w:rsidRPr="00645B5A">
        <w:rPr>
          <w:i/>
          <w:iCs/>
        </w:rPr>
        <w:t>Image et pouvoir de l</w:t>
      </w:r>
      <w:r w:rsidR="00645B5A" w:rsidRPr="00645B5A">
        <w:rPr>
          <w:i/>
          <w:iCs/>
        </w:rPr>
        <w:t>’</w:t>
      </w:r>
      <w:r w:rsidRPr="00645B5A">
        <w:rPr>
          <w:i/>
          <w:iCs/>
        </w:rPr>
        <w:t>antiquité au Moyen Âge</w:t>
      </w:r>
      <w:r>
        <w:t xml:space="preserve">, </w:t>
      </w:r>
      <w:proofErr w:type="spellStart"/>
      <w:r>
        <w:t>dir</w:t>
      </w:r>
      <w:proofErr w:type="spellEnd"/>
      <w:r>
        <w:t>.</w:t>
      </w:r>
      <w:r w:rsidRPr="00A06C29">
        <w:t xml:space="preserve"> Christian-Georges </w:t>
      </w:r>
      <w:proofErr w:type="spellStart"/>
      <w:r w:rsidRPr="00A06C29">
        <w:t>Schwentzel</w:t>
      </w:r>
      <w:proofErr w:type="spellEnd"/>
      <w:r w:rsidRPr="00A06C29">
        <w:t xml:space="preserve"> </w:t>
      </w:r>
      <w:r w:rsidR="00843FA0">
        <w:t>et</w:t>
      </w:r>
      <w:r w:rsidRPr="00A06C29">
        <w:t xml:space="preserve"> Emmanuelle Santinelli-Foltz</w:t>
      </w:r>
      <w:r>
        <w:t>, Rennes, Presses Universitaires de Rennes, 2012, p. 99-110.</w:t>
      </w:r>
    </w:p>
  </w:footnote>
  <w:footnote w:id="5">
    <w:p w14:paraId="53F8568C" w14:textId="3D0A1001" w:rsidR="005D04D1" w:rsidRPr="005D04D1" w:rsidRDefault="005D04D1" w:rsidP="00AE497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Julien Le </w:t>
      </w:r>
      <w:proofErr w:type="spellStart"/>
      <w:r>
        <w:t>Mauff</w:t>
      </w:r>
      <w:proofErr w:type="spellEnd"/>
      <w:r>
        <w:t xml:space="preserve">, </w:t>
      </w:r>
      <w:r w:rsidR="00645B5A">
        <w:t>« </w:t>
      </w:r>
      <w:r>
        <w:t>L</w:t>
      </w:r>
      <w:r w:rsidR="00645B5A">
        <w:t>’</w:t>
      </w:r>
      <w:r>
        <w:t>invention du territoire. Conscience spatiale et territorialisation (XIV</w:t>
      </w:r>
      <w:r>
        <w:rPr>
          <w:vertAlign w:val="superscript"/>
        </w:rPr>
        <w:t>e</w:t>
      </w:r>
      <w:r>
        <w:t>-XVI</w:t>
      </w:r>
      <w:r>
        <w:rPr>
          <w:vertAlign w:val="superscript"/>
        </w:rPr>
        <w:t>e</w:t>
      </w:r>
      <w:r>
        <w:t xml:space="preserve"> s.)</w:t>
      </w:r>
      <w:r w:rsidR="00645B5A">
        <w:t> »</w:t>
      </w:r>
      <w:r>
        <w:t xml:space="preserve">, dans </w:t>
      </w:r>
      <w:r>
        <w:rPr>
          <w:i/>
          <w:iCs/>
        </w:rPr>
        <w:t>Cahiers d</w:t>
      </w:r>
      <w:r w:rsidR="00645B5A">
        <w:rPr>
          <w:i/>
          <w:iCs/>
        </w:rPr>
        <w:t>’</w:t>
      </w:r>
      <w:r>
        <w:rPr>
          <w:i/>
          <w:iCs/>
        </w:rPr>
        <w:t>Agora</w:t>
      </w:r>
      <w:r>
        <w:t>, n°3, 2020.</w:t>
      </w:r>
    </w:p>
  </w:footnote>
  <w:footnote w:id="6">
    <w:p w14:paraId="3A08F9A6" w14:textId="40C7D7E8" w:rsidR="005D04D1" w:rsidRPr="005D04D1" w:rsidRDefault="005D04D1" w:rsidP="00AE497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Léonard </w:t>
      </w:r>
      <w:proofErr w:type="spellStart"/>
      <w:r>
        <w:t>Dauphant</w:t>
      </w:r>
      <w:proofErr w:type="spellEnd"/>
      <w:r>
        <w:t xml:space="preserve">, </w:t>
      </w:r>
      <w:r>
        <w:rPr>
          <w:i/>
          <w:iCs/>
        </w:rPr>
        <w:t>Le royaume des Quatre Rivières. L</w:t>
      </w:r>
      <w:r w:rsidR="00645B5A">
        <w:rPr>
          <w:i/>
          <w:iCs/>
        </w:rPr>
        <w:t>’</w:t>
      </w:r>
      <w:r>
        <w:rPr>
          <w:i/>
          <w:iCs/>
        </w:rPr>
        <w:t>espace politique français (1380-1515)</w:t>
      </w:r>
      <w:r>
        <w:t>, Seyssel, Champ Vallon, 2012.</w:t>
      </w:r>
    </w:p>
  </w:footnote>
  <w:footnote w:id="7">
    <w:p w14:paraId="0485F504" w14:textId="08CB8F2A" w:rsidR="00E6693D" w:rsidRPr="00E6693D" w:rsidRDefault="00E6693D" w:rsidP="00E6693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E6693D">
        <w:t xml:space="preserve">Stéphanie </w:t>
      </w:r>
      <w:proofErr w:type="spellStart"/>
      <w:r w:rsidRPr="00E6693D">
        <w:t>Hennette</w:t>
      </w:r>
      <w:proofErr w:type="spellEnd"/>
      <w:r w:rsidRPr="00E6693D">
        <w:t> Vauchez, « La fabrique législative de l</w:t>
      </w:r>
      <w:r w:rsidR="00645B5A">
        <w:t>’</w:t>
      </w:r>
      <w:r w:rsidRPr="00E6693D">
        <w:t>état d</w:t>
      </w:r>
      <w:r w:rsidR="00645B5A">
        <w:t>’</w:t>
      </w:r>
      <w:r w:rsidRPr="00E6693D">
        <w:t>urgence : lorsque le pouvoir n</w:t>
      </w:r>
      <w:r w:rsidR="00645B5A">
        <w:t>’</w:t>
      </w:r>
      <w:r w:rsidRPr="00E6693D">
        <w:t>arrête pas le pouvoir », </w:t>
      </w:r>
      <w:r>
        <w:t xml:space="preserve">dans </w:t>
      </w:r>
      <w:r w:rsidRPr="00E6693D">
        <w:rPr>
          <w:i/>
          <w:iCs/>
        </w:rPr>
        <w:t>Cultures &amp; Conflits</w:t>
      </w:r>
      <w:r w:rsidRPr="00E6693D">
        <w:t>, 113</w:t>
      </w:r>
      <w:r>
        <w:t xml:space="preserve">, </w:t>
      </w:r>
      <w:r w:rsidRPr="00E6693D">
        <w:t>2019, 17-41</w:t>
      </w:r>
      <w:r>
        <w:t xml:space="preserve"> ; </w:t>
      </w:r>
      <w:r w:rsidR="00FA1906" w:rsidRPr="00FA1906">
        <w:t xml:space="preserve">Raphaël Kempf, </w:t>
      </w:r>
      <w:r w:rsidR="00FA1906" w:rsidRPr="00FA1906">
        <w:rPr>
          <w:i/>
          <w:iCs/>
        </w:rPr>
        <w:t>Ennemis d</w:t>
      </w:r>
      <w:r w:rsidR="00645B5A">
        <w:rPr>
          <w:i/>
          <w:iCs/>
        </w:rPr>
        <w:t>’</w:t>
      </w:r>
      <w:r w:rsidR="00FA1906" w:rsidRPr="00FA1906">
        <w:rPr>
          <w:i/>
          <w:iCs/>
        </w:rPr>
        <w:t>État. Les lois scélérates, des anarchistes aux terroristes</w:t>
      </w:r>
      <w:r w:rsidR="00FA1906" w:rsidRPr="00FA1906">
        <w:t>, Paris, La Fabrique, 2019</w:t>
      </w:r>
      <w:r w:rsidR="00FA1906">
        <w:t xml:space="preserve"> ; </w:t>
      </w:r>
      <w:r>
        <w:t xml:space="preserve">Raphaël Kempf, </w:t>
      </w:r>
      <w:r>
        <w:rPr>
          <w:i/>
          <w:iCs/>
        </w:rPr>
        <w:t>Violences judiciaires. La justice et la répression de l</w:t>
      </w:r>
      <w:r w:rsidR="00645B5A">
        <w:rPr>
          <w:i/>
          <w:iCs/>
        </w:rPr>
        <w:t>’</w:t>
      </w:r>
      <w:r>
        <w:rPr>
          <w:i/>
          <w:iCs/>
        </w:rPr>
        <w:t>action politique</w:t>
      </w:r>
      <w:r>
        <w:t>, Paris, La découverte, 2022.</w:t>
      </w:r>
    </w:p>
  </w:footnote>
  <w:footnote w:id="8">
    <w:p w14:paraId="5D2C8213" w14:textId="334FBAF3" w:rsidR="00FA1906" w:rsidRDefault="00FA1906" w:rsidP="00FA1906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Julien Le </w:t>
      </w:r>
      <w:proofErr w:type="spellStart"/>
      <w:r>
        <w:t>Mauff</w:t>
      </w:r>
      <w:proofErr w:type="spellEnd"/>
      <w:r>
        <w:t xml:space="preserve">, </w:t>
      </w:r>
      <w:r w:rsidRPr="00FA1906">
        <w:t>« Une « raison d</w:t>
      </w:r>
      <w:r w:rsidR="00645B5A">
        <w:t>’</w:t>
      </w:r>
      <w:r w:rsidRPr="00FA1906">
        <w:t>état d</w:t>
      </w:r>
      <w:r w:rsidR="00645B5A">
        <w:t>’</w:t>
      </w:r>
      <w:r w:rsidRPr="00FA1906">
        <w:t>urgence » : dans quel état d</w:t>
      </w:r>
      <w:r w:rsidR="00645B5A">
        <w:t>’</w:t>
      </w:r>
      <w:r w:rsidRPr="00FA1906">
        <w:t xml:space="preserve">exception vivons-nous ? », </w:t>
      </w:r>
      <w:r w:rsidRPr="00FA1906">
        <w:rPr>
          <w:i/>
          <w:iCs/>
        </w:rPr>
        <w:t>Cités</w:t>
      </w:r>
      <w:r w:rsidRPr="00FA1906">
        <w:t>, vol. 94, 2023, p. 25-43.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9264" w14:textId="77777777"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66579D16" wp14:editId="4A3246F5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F49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7C0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ACC1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607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DAAC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4E8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6605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946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04D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B89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604D09"/>
    <w:multiLevelType w:val="hybridMultilevel"/>
    <w:tmpl w:val="4AD42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262861">
    <w:abstractNumId w:val="13"/>
  </w:num>
  <w:num w:numId="2" w16cid:durableId="585042314">
    <w:abstractNumId w:val="12"/>
  </w:num>
  <w:num w:numId="3" w16cid:durableId="1470509899">
    <w:abstractNumId w:val="0"/>
  </w:num>
  <w:num w:numId="4" w16cid:durableId="1147936475">
    <w:abstractNumId w:val="5"/>
  </w:num>
  <w:num w:numId="5" w16cid:durableId="866597075">
    <w:abstractNumId w:val="6"/>
  </w:num>
  <w:num w:numId="6" w16cid:durableId="2024743243">
    <w:abstractNumId w:val="7"/>
  </w:num>
  <w:num w:numId="7" w16cid:durableId="100103952">
    <w:abstractNumId w:val="8"/>
  </w:num>
  <w:num w:numId="8" w16cid:durableId="22243537">
    <w:abstractNumId w:val="10"/>
  </w:num>
  <w:num w:numId="9" w16cid:durableId="2044937230">
    <w:abstractNumId w:val="1"/>
  </w:num>
  <w:num w:numId="10" w16cid:durableId="395665587">
    <w:abstractNumId w:val="2"/>
  </w:num>
  <w:num w:numId="11" w16cid:durableId="4326266">
    <w:abstractNumId w:val="3"/>
  </w:num>
  <w:num w:numId="12" w16cid:durableId="192428901">
    <w:abstractNumId w:val="4"/>
  </w:num>
  <w:num w:numId="13" w16cid:durableId="277108984">
    <w:abstractNumId w:val="9"/>
  </w:num>
  <w:num w:numId="14" w16cid:durableId="4507047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3D8C"/>
    <w:rsid w:val="0000797A"/>
    <w:rsid w:val="00031798"/>
    <w:rsid w:val="0004538D"/>
    <w:rsid w:val="000462B1"/>
    <w:rsid w:val="00076CDA"/>
    <w:rsid w:val="00093607"/>
    <w:rsid w:val="000A449F"/>
    <w:rsid w:val="000B19CF"/>
    <w:rsid w:val="000B2407"/>
    <w:rsid w:val="000C3EA2"/>
    <w:rsid w:val="000D2EFD"/>
    <w:rsid w:val="000E1207"/>
    <w:rsid w:val="000E64D7"/>
    <w:rsid w:val="00100FDE"/>
    <w:rsid w:val="00106373"/>
    <w:rsid w:val="00115C4A"/>
    <w:rsid w:val="00123D5E"/>
    <w:rsid w:val="001264AC"/>
    <w:rsid w:val="00167A40"/>
    <w:rsid w:val="00171413"/>
    <w:rsid w:val="0017364B"/>
    <w:rsid w:val="001A60CD"/>
    <w:rsid w:val="001B22FA"/>
    <w:rsid w:val="001B6857"/>
    <w:rsid w:val="001C0661"/>
    <w:rsid w:val="001E233F"/>
    <w:rsid w:val="001E4C4E"/>
    <w:rsid w:val="001F2932"/>
    <w:rsid w:val="001F71AF"/>
    <w:rsid w:val="00205EE1"/>
    <w:rsid w:val="00216D69"/>
    <w:rsid w:val="0023008E"/>
    <w:rsid w:val="00231FE5"/>
    <w:rsid w:val="00234432"/>
    <w:rsid w:val="00235E33"/>
    <w:rsid w:val="0024582D"/>
    <w:rsid w:val="0026153B"/>
    <w:rsid w:val="00276E26"/>
    <w:rsid w:val="0028766C"/>
    <w:rsid w:val="00294B2B"/>
    <w:rsid w:val="002A4CA7"/>
    <w:rsid w:val="002A6FDE"/>
    <w:rsid w:val="002C7E01"/>
    <w:rsid w:val="00304539"/>
    <w:rsid w:val="00314734"/>
    <w:rsid w:val="003216A8"/>
    <w:rsid w:val="003253C2"/>
    <w:rsid w:val="00327087"/>
    <w:rsid w:val="00357203"/>
    <w:rsid w:val="00357564"/>
    <w:rsid w:val="003616E4"/>
    <w:rsid w:val="00362D54"/>
    <w:rsid w:val="00370594"/>
    <w:rsid w:val="00394AD7"/>
    <w:rsid w:val="003A3728"/>
    <w:rsid w:val="003B1DDC"/>
    <w:rsid w:val="003B3E7A"/>
    <w:rsid w:val="003B6F96"/>
    <w:rsid w:val="003D147A"/>
    <w:rsid w:val="003F0B5E"/>
    <w:rsid w:val="00411810"/>
    <w:rsid w:val="00412DC5"/>
    <w:rsid w:val="00415CC0"/>
    <w:rsid w:val="0041624D"/>
    <w:rsid w:val="00424A7A"/>
    <w:rsid w:val="00427A80"/>
    <w:rsid w:val="004336F0"/>
    <w:rsid w:val="00437286"/>
    <w:rsid w:val="00440B6F"/>
    <w:rsid w:val="00463500"/>
    <w:rsid w:val="00466CF9"/>
    <w:rsid w:val="00472187"/>
    <w:rsid w:val="00481F8F"/>
    <w:rsid w:val="004B0ABD"/>
    <w:rsid w:val="004B23F9"/>
    <w:rsid w:val="004C12BC"/>
    <w:rsid w:val="004D6529"/>
    <w:rsid w:val="004F57E5"/>
    <w:rsid w:val="0050039D"/>
    <w:rsid w:val="005069BE"/>
    <w:rsid w:val="00512B9C"/>
    <w:rsid w:val="005359CB"/>
    <w:rsid w:val="00545F49"/>
    <w:rsid w:val="00570201"/>
    <w:rsid w:val="00580740"/>
    <w:rsid w:val="00586E88"/>
    <w:rsid w:val="0058705D"/>
    <w:rsid w:val="005A77EA"/>
    <w:rsid w:val="005B4B3B"/>
    <w:rsid w:val="005B567D"/>
    <w:rsid w:val="005C37F0"/>
    <w:rsid w:val="005C5829"/>
    <w:rsid w:val="005D04D1"/>
    <w:rsid w:val="005D34DB"/>
    <w:rsid w:val="005D5D24"/>
    <w:rsid w:val="005F4137"/>
    <w:rsid w:val="00604921"/>
    <w:rsid w:val="00617961"/>
    <w:rsid w:val="00625B94"/>
    <w:rsid w:val="00631193"/>
    <w:rsid w:val="00632336"/>
    <w:rsid w:val="0063372A"/>
    <w:rsid w:val="00637962"/>
    <w:rsid w:val="006432B1"/>
    <w:rsid w:val="00645B5A"/>
    <w:rsid w:val="00647699"/>
    <w:rsid w:val="00651811"/>
    <w:rsid w:val="00681218"/>
    <w:rsid w:val="00685886"/>
    <w:rsid w:val="00695ECF"/>
    <w:rsid w:val="006B0962"/>
    <w:rsid w:val="006B5F5A"/>
    <w:rsid w:val="006C12CA"/>
    <w:rsid w:val="006E7A74"/>
    <w:rsid w:val="006F337E"/>
    <w:rsid w:val="0072515D"/>
    <w:rsid w:val="0073080B"/>
    <w:rsid w:val="007402E7"/>
    <w:rsid w:val="00740D4F"/>
    <w:rsid w:val="00763CD8"/>
    <w:rsid w:val="007701E0"/>
    <w:rsid w:val="00787779"/>
    <w:rsid w:val="007922AF"/>
    <w:rsid w:val="00792FBC"/>
    <w:rsid w:val="007A1268"/>
    <w:rsid w:val="007B5D97"/>
    <w:rsid w:val="007D07BA"/>
    <w:rsid w:val="007D35B5"/>
    <w:rsid w:val="007E729E"/>
    <w:rsid w:val="00834F5A"/>
    <w:rsid w:val="00842190"/>
    <w:rsid w:val="00842780"/>
    <w:rsid w:val="00843FA0"/>
    <w:rsid w:val="00845C07"/>
    <w:rsid w:val="00865FAE"/>
    <w:rsid w:val="00892409"/>
    <w:rsid w:val="008B1967"/>
    <w:rsid w:val="008C3562"/>
    <w:rsid w:val="008C7D8A"/>
    <w:rsid w:val="008D57AB"/>
    <w:rsid w:val="008E46DD"/>
    <w:rsid w:val="008E5CFF"/>
    <w:rsid w:val="008F3232"/>
    <w:rsid w:val="00903D93"/>
    <w:rsid w:val="009122BA"/>
    <w:rsid w:val="009243CE"/>
    <w:rsid w:val="00925FF7"/>
    <w:rsid w:val="00936CE0"/>
    <w:rsid w:val="009400B0"/>
    <w:rsid w:val="009403BD"/>
    <w:rsid w:val="00952714"/>
    <w:rsid w:val="00953330"/>
    <w:rsid w:val="00961394"/>
    <w:rsid w:val="009722A6"/>
    <w:rsid w:val="0098253B"/>
    <w:rsid w:val="009857DD"/>
    <w:rsid w:val="00993FB3"/>
    <w:rsid w:val="00994E2C"/>
    <w:rsid w:val="00996DA2"/>
    <w:rsid w:val="00997390"/>
    <w:rsid w:val="009E2212"/>
    <w:rsid w:val="009F4E81"/>
    <w:rsid w:val="009F57ED"/>
    <w:rsid w:val="00A05DA0"/>
    <w:rsid w:val="00A06C29"/>
    <w:rsid w:val="00A15BF6"/>
    <w:rsid w:val="00A5285E"/>
    <w:rsid w:val="00A55C33"/>
    <w:rsid w:val="00A719BE"/>
    <w:rsid w:val="00A8559A"/>
    <w:rsid w:val="00A97A2E"/>
    <w:rsid w:val="00AA01A6"/>
    <w:rsid w:val="00AD145B"/>
    <w:rsid w:val="00AD1A7D"/>
    <w:rsid w:val="00AD244A"/>
    <w:rsid w:val="00AD258A"/>
    <w:rsid w:val="00AE4248"/>
    <w:rsid w:val="00AE4972"/>
    <w:rsid w:val="00AF240F"/>
    <w:rsid w:val="00B000E3"/>
    <w:rsid w:val="00B05675"/>
    <w:rsid w:val="00B24251"/>
    <w:rsid w:val="00B67DE6"/>
    <w:rsid w:val="00B82CC9"/>
    <w:rsid w:val="00B83048"/>
    <w:rsid w:val="00B836CE"/>
    <w:rsid w:val="00B90D39"/>
    <w:rsid w:val="00BA5C23"/>
    <w:rsid w:val="00BB0030"/>
    <w:rsid w:val="00BB1A65"/>
    <w:rsid w:val="00BC76CE"/>
    <w:rsid w:val="00BD148B"/>
    <w:rsid w:val="00BD2FC2"/>
    <w:rsid w:val="00BF0C14"/>
    <w:rsid w:val="00C05AE8"/>
    <w:rsid w:val="00C12112"/>
    <w:rsid w:val="00C35861"/>
    <w:rsid w:val="00C37EA6"/>
    <w:rsid w:val="00C404EB"/>
    <w:rsid w:val="00C46931"/>
    <w:rsid w:val="00C658B9"/>
    <w:rsid w:val="00C67052"/>
    <w:rsid w:val="00C70344"/>
    <w:rsid w:val="00C71D32"/>
    <w:rsid w:val="00C80302"/>
    <w:rsid w:val="00C87735"/>
    <w:rsid w:val="00C92AF8"/>
    <w:rsid w:val="00C975C6"/>
    <w:rsid w:val="00CA54CB"/>
    <w:rsid w:val="00CA6A71"/>
    <w:rsid w:val="00CD07FE"/>
    <w:rsid w:val="00CD2835"/>
    <w:rsid w:val="00CE3519"/>
    <w:rsid w:val="00CE415E"/>
    <w:rsid w:val="00CE701F"/>
    <w:rsid w:val="00CE7976"/>
    <w:rsid w:val="00CF1909"/>
    <w:rsid w:val="00D06258"/>
    <w:rsid w:val="00D1143C"/>
    <w:rsid w:val="00D128B5"/>
    <w:rsid w:val="00D31B28"/>
    <w:rsid w:val="00D403CB"/>
    <w:rsid w:val="00D45E65"/>
    <w:rsid w:val="00D81B12"/>
    <w:rsid w:val="00D85E7E"/>
    <w:rsid w:val="00D85FB6"/>
    <w:rsid w:val="00D9144D"/>
    <w:rsid w:val="00D9460D"/>
    <w:rsid w:val="00D960E5"/>
    <w:rsid w:val="00DA1B1B"/>
    <w:rsid w:val="00DA63DC"/>
    <w:rsid w:val="00DD1033"/>
    <w:rsid w:val="00DD1322"/>
    <w:rsid w:val="00DF040B"/>
    <w:rsid w:val="00DF1D51"/>
    <w:rsid w:val="00DF4A85"/>
    <w:rsid w:val="00DF54FA"/>
    <w:rsid w:val="00E213B0"/>
    <w:rsid w:val="00E2394E"/>
    <w:rsid w:val="00E248D4"/>
    <w:rsid w:val="00E32DCD"/>
    <w:rsid w:val="00E4047D"/>
    <w:rsid w:val="00E50BD2"/>
    <w:rsid w:val="00E567DE"/>
    <w:rsid w:val="00E623AC"/>
    <w:rsid w:val="00E64949"/>
    <w:rsid w:val="00E6693D"/>
    <w:rsid w:val="00E70FD2"/>
    <w:rsid w:val="00E75C6B"/>
    <w:rsid w:val="00E82115"/>
    <w:rsid w:val="00E8682E"/>
    <w:rsid w:val="00E957F2"/>
    <w:rsid w:val="00E9587B"/>
    <w:rsid w:val="00ED5C35"/>
    <w:rsid w:val="00EE1383"/>
    <w:rsid w:val="00F0353B"/>
    <w:rsid w:val="00F049B7"/>
    <w:rsid w:val="00F26478"/>
    <w:rsid w:val="00F43C5F"/>
    <w:rsid w:val="00F46171"/>
    <w:rsid w:val="00F54C15"/>
    <w:rsid w:val="00F607AA"/>
    <w:rsid w:val="00F8354D"/>
    <w:rsid w:val="00F8666E"/>
    <w:rsid w:val="00FA1906"/>
    <w:rsid w:val="00FB0063"/>
    <w:rsid w:val="00FB6A79"/>
    <w:rsid w:val="00FB70B0"/>
    <w:rsid w:val="00FC0E2C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DF4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semiHidden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paragraph" w:styleId="Sansinterligne">
    <w:name w:val="No Spacing"/>
    <w:uiPriority w:val="1"/>
    <w:qFormat/>
    <w:rsid w:val="00466C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E81"/>
    <w:pPr>
      <w:suppressAutoHyphens w:val="0"/>
    </w:pPr>
    <w:rPr>
      <w:rFonts w:ascii="Times New Roman" w:eastAsia="Times New Roman" w:hAnsi="Times New Roman" w:cs="Times New Roman"/>
      <w:b/>
      <w:bCs/>
      <w:kern w:val="0"/>
      <w:szCs w:val="20"/>
      <w:lang w:eastAsia="fr-FR" w:bidi="ar-SA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9F4E81"/>
    <w:rPr>
      <w:rFonts w:ascii="Liberation Serif" w:eastAsia="Times New Roman" w:hAnsi="Liberation Serif" w:cs="Mangal"/>
      <w:b/>
      <w:bCs/>
      <w:kern w:val="2"/>
      <w:szCs w:val="18"/>
      <w:bdr w:val="none" w:sz="0" w:space="0" w:color="auto"/>
      <w:lang w:eastAsia="zh-CN" w:bidi="hi-IN"/>
    </w:rPr>
  </w:style>
  <w:style w:type="paragraph" w:styleId="Rvision">
    <w:name w:val="Revision"/>
    <w:hidden/>
    <w:uiPriority w:val="99"/>
    <w:semiHidden/>
    <w:rsid w:val="006B09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CBEB63-5368-4D5A-B08F-A5A83EA1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Ariel Suhamy</cp:lastModifiedBy>
  <cp:revision>4</cp:revision>
  <cp:lastPrinted>2021-07-19T16:04:00Z</cp:lastPrinted>
  <dcterms:created xsi:type="dcterms:W3CDTF">2023-10-23T12:38:00Z</dcterms:created>
  <dcterms:modified xsi:type="dcterms:W3CDTF">2023-10-23T12:56:00Z</dcterms:modified>
</cp:coreProperties>
</file>