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2A" w:rsidRPr="007D0A96" w:rsidRDefault="0063372A" w:rsidP="0063372A">
      <w:pPr>
        <w:outlineLvl w:val="0"/>
        <w:rPr>
          <w:rFonts w:ascii="Times" w:hAnsi="Times"/>
        </w:rPr>
      </w:pPr>
    </w:p>
    <w:p w:rsidR="00EA34DA" w:rsidRDefault="00EA34DA" w:rsidP="00EA34DA">
      <w:pPr>
        <w:pStyle w:val="VDITitre"/>
      </w:pPr>
      <w:r>
        <w:t xml:space="preserve">Des </w:t>
      </w:r>
      <w:r w:rsidRPr="005E666B">
        <w:t>d</w:t>
      </w:r>
      <w:r>
        <w:t>eux cultures</w:t>
      </w:r>
      <w:r w:rsidRPr="005E666B">
        <w:t xml:space="preserve"> de </w:t>
      </w:r>
      <w:r>
        <w:t xml:space="preserve">Hichem </w:t>
      </w:r>
      <w:proofErr w:type="spellStart"/>
      <w:r>
        <w:t>Djaït</w:t>
      </w:r>
      <w:proofErr w:type="spellEnd"/>
      <w:r w:rsidRPr="007D0A96">
        <w:t xml:space="preserve"> </w:t>
      </w:r>
    </w:p>
    <w:p w:rsidR="00E75C6B" w:rsidRPr="007D0A96" w:rsidRDefault="008B1967" w:rsidP="007D0A96">
      <w:pPr>
        <w:pStyle w:val="VDIAuteur"/>
      </w:pPr>
      <w:proofErr w:type="gramStart"/>
      <w:r w:rsidRPr="007D0A96">
        <w:t>p</w:t>
      </w:r>
      <w:r w:rsidR="00E75C6B" w:rsidRPr="007D0A96">
        <w:t>ar</w:t>
      </w:r>
      <w:proofErr w:type="gramEnd"/>
      <w:r w:rsidR="00E75C6B" w:rsidRPr="007D0A96">
        <w:t xml:space="preserve"> </w:t>
      </w:r>
      <w:r w:rsidR="00EA34DA">
        <w:t xml:space="preserve">Pierre Robert </w:t>
      </w:r>
      <w:proofErr w:type="spellStart"/>
      <w:r w:rsidR="00EA34DA">
        <w:t>Baduel</w:t>
      </w:r>
      <w:proofErr w:type="spellEnd"/>
    </w:p>
    <w:p w:rsidR="00EA34DA" w:rsidRPr="005E666B" w:rsidRDefault="00EA34DA" w:rsidP="00EA34DA">
      <w:pPr>
        <w:pStyle w:val="VDIChapo"/>
      </w:pPr>
      <w:r>
        <w:t xml:space="preserve">Le dernier </w:t>
      </w:r>
      <w:proofErr w:type="spellStart"/>
      <w:r>
        <w:t>ouvrage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 par</w:t>
      </w:r>
      <w:r>
        <w:t xml:space="preserve"> </w:t>
      </w:r>
      <w:proofErr w:type="spellStart"/>
      <w:r w:rsidRPr="005E666B">
        <w:t>Hichem</w:t>
      </w:r>
      <w:proofErr w:type="spellEnd"/>
      <w:r w:rsidRPr="005E666B">
        <w:t xml:space="preserve"> </w:t>
      </w:r>
      <w:proofErr w:type="spellStart"/>
      <w:r w:rsidRPr="005E666B">
        <w:t>Djaït</w:t>
      </w:r>
      <w:proofErr w:type="spellEnd"/>
      <w:r>
        <w:t xml:space="preserve"> à la </w:t>
      </w:r>
      <w:proofErr w:type="spellStart"/>
      <w:r>
        <w:t>veille</w:t>
      </w:r>
      <w:proofErr w:type="spellEnd"/>
      <w:r>
        <w:t xml:space="preserve"> de sa </w:t>
      </w:r>
      <w:proofErr w:type="spellStart"/>
      <w:r>
        <w:t>disparition</w:t>
      </w:r>
      <w:proofErr w:type="spellEnd"/>
      <w:r>
        <w:t xml:space="preserve"> </w:t>
      </w:r>
      <w:proofErr w:type="spellStart"/>
      <w:r>
        <w:t>illustre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appartenance</w:t>
      </w:r>
      <w:proofErr w:type="spellEnd"/>
      <w:r>
        <w:t xml:space="preserve"> à deux cultures</w:t>
      </w:r>
      <w:r>
        <w:t>,</w:t>
      </w:r>
      <w:r>
        <w:t xml:space="preserve"> </w:t>
      </w:r>
      <w:proofErr w:type="spellStart"/>
      <w:r>
        <w:t>l’islamique</w:t>
      </w:r>
      <w:proofErr w:type="spellEnd"/>
      <w:r>
        <w:t xml:space="preserve"> et </w:t>
      </w:r>
      <w:proofErr w:type="spellStart"/>
      <w:r>
        <w:t>l’occidentale</w:t>
      </w:r>
      <w:proofErr w:type="spellEnd"/>
      <w:r>
        <w:t>,</w:t>
      </w:r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lesquelles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dit avoir « vogué »</w:t>
      </w:r>
      <w:r>
        <w:t>. Retour</w:t>
      </w:r>
      <w:r w:rsidRPr="005E666B">
        <w:t xml:space="preserve"> </w:t>
      </w:r>
      <w:proofErr w:type="spellStart"/>
      <w:r w:rsidRPr="005E666B">
        <w:t>sur</w:t>
      </w:r>
      <w:proofErr w:type="spellEnd"/>
      <w:r w:rsidRPr="005E666B">
        <w:t xml:space="preserve"> le parcours de cet </w:t>
      </w:r>
      <w:proofErr w:type="spellStart"/>
      <w:r w:rsidRPr="005E666B">
        <w:t>historien</w:t>
      </w:r>
      <w:proofErr w:type="spellEnd"/>
      <w:r w:rsidRPr="005E666B">
        <w:t xml:space="preserve"> et </w:t>
      </w:r>
      <w:proofErr w:type="spellStart"/>
      <w:r w:rsidRPr="005E666B">
        <w:t>penseur</w:t>
      </w:r>
      <w:proofErr w:type="spellEnd"/>
      <w:r w:rsidRPr="005E666B">
        <w:t xml:space="preserve"> </w:t>
      </w:r>
      <w:proofErr w:type="spellStart"/>
      <w:r w:rsidRPr="005E666B">
        <w:t>tunisien</w:t>
      </w:r>
      <w:proofErr w:type="spellEnd"/>
      <w:r>
        <w:t xml:space="preserve"> </w:t>
      </w:r>
      <w:proofErr w:type="spellStart"/>
      <w:r>
        <w:t>méconnu</w:t>
      </w:r>
      <w:proofErr w:type="spellEnd"/>
      <w:r w:rsidRPr="005E666B">
        <w:t xml:space="preserve">. </w:t>
      </w:r>
    </w:p>
    <w:p w:rsidR="0096663F" w:rsidRPr="00EA34DA" w:rsidRDefault="007D0A96" w:rsidP="00EA34DA">
      <w:pPr>
        <w:pStyle w:val="VDIRecens"/>
      </w:pPr>
      <w:r w:rsidRPr="000D6A7D">
        <w:t xml:space="preserve">À propos de : </w:t>
      </w:r>
      <w:r w:rsidR="00EA34DA">
        <w:t xml:space="preserve">Hichem </w:t>
      </w:r>
      <w:proofErr w:type="spellStart"/>
      <w:r w:rsidR="00EA34DA">
        <w:t>Djaït</w:t>
      </w:r>
      <w:proofErr w:type="spellEnd"/>
      <w:r w:rsidR="00EA34DA">
        <w:t xml:space="preserve">, </w:t>
      </w:r>
      <w:r w:rsidR="00EA34DA" w:rsidRPr="00EA34DA">
        <w:rPr>
          <w:i/>
        </w:rPr>
        <w:t>Penser l’histoire, penser la religion</w:t>
      </w:r>
      <w:r w:rsidR="00EA34DA">
        <w:t xml:space="preserve">, </w:t>
      </w:r>
      <w:r w:rsidR="00EA34DA">
        <w:t>Cérès éditions, Tunis, 2021, 174 p</w:t>
      </w:r>
      <w:r w:rsidR="00EA34DA">
        <w:t>.</w:t>
      </w:r>
    </w:p>
    <w:p w:rsidR="0096663F" w:rsidRPr="00E00058" w:rsidRDefault="0096663F" w:rsidP="00EA34DA">
      <w:pPr>
        <w:pStyle w:val="VDIIntertitre"/>
      </w:pPr>
      <w:r w:rsidRPr="00E00058">
        <w:t>Origine sociale et parcours universitaire</w:t>
      </w:r>
    </w:p>
    <w:p w:rsidR="0096663F" w:rsidRDefault="0096663F" w:rsidP="00EA34DA">
      <w:pPr>
        <w:pStyle w:val="Corps"/>
      </w:pPr>
      <w:r>
        <w:t xml:space="preserve">H. </w:t>
      </w:r>
      <w:proofErr w:type="spellStart"/>
      <w:r>
        <w:t>Djaït</w:t>
      </w:r>
      <w:proofErr w:type="spellEnd"/>
      <w:r>
        <w:t xml:space="preserve"> est issu des deux côtés de grandes familles, les </w:t>
      </w:r>
      <w:proofErr w:type="spellStart"/>
      <w:r>
        <w:t>Djaït</w:t>
      </w:r>
      <w:proofErr w:type="spellEnd"/>
      <w:r>
        <w:t xml:space="preserve"> et les Bayram, comptant du côté paternel un arrière-grand-père </w:t>
      </w:r>
      <w:r w:rsidRPr="006B69D3">
        <w:t xml:space="preserve">Premier </w:t>
      </w:r>
      <w:r>
        <w:t>m</w:t>
      </w:r>
      <w:r w:rsidRPr="006B69D3">
        <w:t xml:space="preserve">inistre sous Nasser Bey </w:t>
      </w:r>
      <w:r>
        <w:t xml:space="preserve">(1906-1922) et un </w:t>
      </w:r>
      <w:r w:rsidRPr="006B69D3">
        <w:t xml:space="preserve">grand-oncle </w:t>
      </w:r>
      <w:r w:rsidRPr="006B69D3">
        <w:rPr>
          <w:rFonts w:cs="TimesNewRomanPS-ItalicMT"/>
          <w:iCs/>
        </w:rPr>
        <w:t>cheikh-el-islam</w:t>
      </w:r>
      <w:r w:rsidRPr="006B69D3">
        <w:rPr>
          <w:rFonts w:cs="TimesNewRomanPS-ItalicMT"/>
          <w:i/>
          <w:iCs/>
        </w:rPr>
        <w:t xml:space="preserve"> </w:t>
      </w:r>
      <w:r w:rsidRPr="006B69D3">
        <w:t>malékite à l</w:t>
      </w:r>
      <w:r>
        <w:t>’Université de l</w:t>
      </w:r>
      <w:r w:rsidRPr="006B69D3">
        <w:t xml:space="preserve">a </w:t>
      </w:r>
      <w:proofErr w:type="spellStart"/>
      <w:r w:rsidRPr="006B69D3">
        <w:t>Zitouna</w:t>
      </w:r>
      <w:proofErr w:type="spellEnd"/>
      <w:r w:rsidRPr="006B69D3">
        <w:t xml:space="preserve"> et ministre </w:t>
      </w:r>
      <w:r>
        <w:t>de la Justice. Après d</w:t>
      </w:r>
      <w:r w:rsidRPr="006B69D3">
        <w:t xml:space="preserve">es études secondaires au collège </w:t>
      </w:r>
      <w:proofErr w:type="spellStart"/>
      <w:r w:rsidRPr="006B69D3">
        <w:t>Sadiki</w:t>
      </w:r>
      <w:proofErr w:type="spellEnd"/>
      <w:r w:rsidRPr="006B69D3">
        <w:t xml:space="preserve"> </w:t>
      </w:r>
      <w:r>
        <w:t xml:space="preserve">(institution de formation de </w:t>
      </w:r>
      <w:r w:rsidRPr="006B69D3">
        <w:t>l’</w:t>
      </w:r>
      <w:r>
        <w:t>élite « </w:t>
      </w:r>
      <w:r w:rsidRPr="006B69D3">
        <w:t>moderniste</w:t>
      </w:r>
      <w:r>
        <w:t xml:space="preserve"> »), il </w:t>
      </w:r>
      <w:r w:rsidRPr="006B69D3">
        <w:t xml:space="preserve">partit </w:t>
      </w:r>
      <w:r>
        <w:t xml:space="preserve">en France </w:t>
      </w:r>
      <w:r w:rsidRPr="006B69D3">
        <w:t xml:space="preserve">faire ses études supérieures à </w:t>
      </w:r>
      <w:r>
        <w:t xml:space="preserve">l’École normale supérieure de </w:t>
      </w:r>
      <w:r w:rsidRPr="006B69D3">
        <w:t>Paris</w:t>
      </w:r>
      <w:r>
        <w:t xml:space="preserve">, </w:t>
      </w:r>
      <w:r w:rsidRPr="006B69D3">
        <w:t>réussit en 1962</w:t>
      </w:r>
      <w:r>
        <w:t xml:space="preserve"> l’agrégation en histoire et de 1969 à 1976</w:t>
      </w:r>
      <w:r w:rsidRPr="006B69D3">
        <w:t xml:space="preserve"> </w:t>
      </w:r>
      <w:r>
        <w:t>fut accueilli comme chercheur au</w:t>
      </w:r>
      <w:r w:rsidRPr="006B69D3">
        <w:t xml:space="preserve"> CNRS à Paris. </w:t>
      </w:r>
      <w:r>
        <w:t xml:space="preserve">Il se signala dans la décennie 1970 par la publication de deux essais : </w:t>
      </w:r>
      <w:r w:rsidRPr="008377DA">
        <w:rPr>
          <w:i/>
        </w:rPr>
        <w:t>La personnalit</w:t>
      </w:r>
      <w:r>
        <w:rPr>
          <w:i/>
        </w:rPr>
        <w:t xml:space="preserve">é et le devenir arabo-islamiques </w:t>
      </w:r>
      <w:r w:rsidRPr="008377DA">
        <w:t>(</w:t>
      </w:r>
      <w:r>
        <w:t xml:space="preserve">1974) et </w:t>
      </w:r>
      <w:r w:rsidRPr="008377DA">
        <w:rPr>
          <w:i/>
        </w:rPr>
        <w:t>L’Europe et l’Islam</w:t>
      </w:r>
      <w:r w:rsidRPr="008377DA">
        <w:t xml:space="preserve"> (</w:t>
      </w:r>
      <w:r>
        <w:t>1978)</w:t>
      </w:r>
      <w:r w:rsidRPr="008377DA">
        <w:t>.</w:t>
      </w:r>
      <w:r>
        <w:t xml:space="preserve"> </w:t>
      </w:r>
      <w:r w:rsidRPr="006B69D3">
        <w:t xml:space="preserve">Rentré </w:t>
      </w:r>
      <w:r>
        <w:t>au pays</w:t>
      </w:r>
      <w:r w:rsidRPr="006B69D3">
        <w:t>, il enseigna</w:t>
      </w:r>
      <w:r>
        <w:t xml:space="preserve"> l’histoire médiévale </w:t>
      </w:r>
      <w:r w:rsidRPr="006B69D3">
        <w:t>à l’</w:t>
      </w:r>
      <w:r>
        <w:t>É</w:t>
      </w:r>
      <w:r w:rsidRPr="006B69D3">
        <w:t xml:space="preserve">cole Normale Supérieure </w:t>
      </w:r>
      <w:r>
        <w:t xml:space="preserve">de Tunis </w:t>
      </w:r>
      <w:r w:rsidRPr="006B69D3">
        <w:t>puis, sa thèse d’</w:t>
      </w:r>
      <w:r>
        <w:t>É</w:t>
      </w:r>
      <w:r w:rsidRPr="006B69D3">
        <w:t>tat</w:t>
      </w:r>
      <w:r>
        <w:t xml:space="preserve"> soutenue</w:t>
      </w:r>
      <w:r w:rsidRPr="006B69D3">
        <w:t xml:space="preserve"> en Sorbonne </w:t>
      </w:r>
      <w:r>
        <w:t>en 1981 (</w:t>
      </w:r>
      <w:r w:rsidRPr="006B69D3">
        <w:t xml:space="preserve">sous la direction </w:t>
      </w:r>
      <w:r>
        <w:t xml:space="preserve">de </w:t>
      </w:r>
      <w:r w:rsidRPr="006B69D3">
        <w:t xml:space="preserve">Claude </w:t>
      </w:r>
      <w:proofErr w:type="spellStart"/>
      <w:r w:rsidRPr="006B69D3">
        <w:t>Cahen</w:t>
      </w:r>
      <w:proofErr w:type="spellEnd"/>
      <w:r>
        <w:t xml:space="preserve">), il fut nommé professeur à </w:t>
      </w:r>
      <w:r w:rsidRPr="006B69D3">
        <w:t>l’Université de Tunis où il exerça jusqu’</w:t>
      </w:r>
      <w:r>
        <w:t xml:space="preserve">à sa retraite </w:t>
      </w:r>
      <w:r w:rsidRPr="006B69D3">
        <w:t xml:space="preserve">en 1996. </w:t>
      </w:r>
      <w:r>
        <w:t xml:space="preserve">Après en 1986 la publication de sa thèse </w:t>
      </w:r>
      <w:r w:rsidRPr="006B69D3">
        <w:t xml:space="preserve">sous le titre </w:t>
      </w:r>
      <w:r w:rsidRPr="006B69D3">
        <w:rPr>
          <w:i/>
        </w:rPr>
        <w:t>Al-</w:t>
      </w:r>
      <w:proofErr w:type="spellStart"/>
      <w:r w:rsidRPr="006B69D3">
        <w:rPr>
          <w:i/>
        </w:rPr>
        <w:t>K</w:t>
      </w:r>
      <w:r w:rsidRPr="006B69D3">
        <w:rPr>
          <w:rFonts w:cstheme="minorHAnsi"/>
          <w:i/>
        </w:rPr>
        <w:t>ū</w:t>
      </w:r>
      <w:r w:rsidRPr="006B69D3">
        <w:rPr>
          <w:i/>
        </w:rPr>
        <w:t>fa</w:t>
      </w:r>
      <w:proofErr w:type="spellEnd"/>
      <w:r w:rsidRPr="006B69D3">
        <w:rPr>
          <w:i/>
        </w:rPr>
        <w:t>. Naissance de la ville islamique</w:t>
      </w:r>
      <w:r>
        <w:t xml:space="preserve">, il écrivit </w:t>
      </w:r>
      <w:r w:rsidRPr="006B69D3">
        <w:t xml:space="preserve">une œuvre </w:t>
      </w:r>
      <w:r>
        <w:t xml:space="preserve">majeure. Deux </w:t>
      </w:r>
      <w:r w:rsidRPr="00580230">
        <w:lastRenderedPageBreak/>
        <w:t>de ses livres sont aujourd’hui des incontournables sur l’histoire de l’Islam</w:t>
      </w:r>
      <w:r w:rsidRPr="006B69D3">
        <w:t xml:space="preserve"> : </w:t>
      </w:r>
      <w:r w:rsidRPr="006B69D3">
        <w:rPr>
          <w:i/>
        </w:rPr>
        <w:t>La Grande Discorde. Religion et politique dans l’Islam des origines</w:t>
      </w:r>
      <w:r w:rsidRPr="006B69D3">
        <w:t xml:space="preserve"> (1989) et </w:t>
      </w:r>
      <w:r w:rsidRPr="006B69D3">
        <w:rPr>
          <w:i/>
        </w:rPr>
        <w:t>La vie de Muhammad</w:t>
      </w:r>
      <w:r w:rsidRPr="006B69D3">
        <w:t xml:space="preserve"> (2007-2008-2012). </w:t>
      </w:r>
      <w:r w:rsidRPr="00D309C9">
        <w:t>Il présida de 2012 à 2015</w:t>
      </w:r>
      <w:r>
        <w:t xml:space="preserve"> </w:t>
      </w:r>
      <w:r w:rsidRPr="00D309C9">
        <w:rPr>
          <w:rFonts w:eastAsia="Times New Roman" w:cs="Times New Roman"/>
        </w:rPr>
        <w:t>Beit al-Hikma, l</w:t>
      </w:r>
      <w:r w:rsidR="006E1D3F">
        <w:rPr>
          <w:rFonts w:eastAsia="Times New Roman" w:cs="Times New Roman"/>
        </w:rPr>
        <w:t>’</w:t>
      </w:r>
      <w:r w:rsidRPr="00D309C9">
        <w:rPr>
          <w:rFonts w:eastAsia="Times New Roman" w:cs="Times New Roman"/>
        </w:rPr>
        <w:t>Académie tunisienne des sciences, des lettres et des arts</w:t>
      </w:r>
      <w:r w:rsidRPr="00D309C9">
        <w:t xml:space="preserve">. </w:t>
      </w:r>
    </w:p>
    <w:p w:rsidR="0096663F" w:rsidRPr="00EA34DA" w:rsidRDefault="0096663F" w:rsidP="00EA34DA">
      <w:pPr>
        <w:pStyle w:val="VDIIntertitre"/>
      </w:pPr>
      <w:r w:rsidRPr="00EA34DA">
        <w:t>A</w:t>
      </w:r>
      <w:r w:rsidRPr="00EA34DA">
        <w:rPr>
          <w:rStyle w:val="Accentuation"/>
          <w:i w:val="0"/>
          <w:iCs w:val="0"/>
        </w:rPr>
        <w:t xml:space="preserve">rchéologie de l’épistémè </w:t>
      </w:r>
      <w:proofErr w:type="spellStart"/>
      <w:r w:rsidRPr="00EA34DA">
        <w:rPr>
          <w:rStyle w:val="Accentuation"/>
          <w:i w:val="0"/>
          <w:iCs w:val="0"/>
        </w:rPr>
        <w:t>djaïtienne</w:t>
      </w:r>
      <w:proofErr w:type="spellEnd"/>
      <w:r w:rsidRPr="00EA34DA">
        <w:rPr>
          <w:rStyle w:val="Accentuation"/>
          <w:i w:val="0"/>
          <w:iCs w:val="0"/>
        </w:rPr>
        <w:t xml:space="preserve"> et ultime profession de foi scientifique ?</w:t>
      </w:r>
    </w:p>
    <w:p w:rsidR="006E1D3F" w:rsidRDefault="0096663F" w:rsidP="00EA34DA">
      <w:pPr>
        <w:pStyle w:val="Corps"/>
      </w:pPr>
      <w:r>
        <w:t xml:space="preserve">H. </w:t>
      </w:r>
      <w:proofErr w:type="spellStart"/>
      <w:r>
        <w:t>Djaït</w:t>
      </w:r>
      <w:proofErr w:type="spellEnd"/>
      <w:r>
        <w:t xml:space="preserve"> </w:t>
      </w:r>
      <w:proofErr w:type="spellStart"/>
      <w:r>
        <w:t>a-t-il</w:t>
      </w:r>
      <w:proofErr w:type="spellEnd"/>
      <w:r>
        <w:t xml:space="preserve"> voulu, pour ce qui est de son œuvre, faire de ce livre de 2021 ce qu’en littérature </w:t>
      </w:r>
      <w:r w:rsidRPr="00447A9A">
        <w:t xml:space="preserve">les Allemands ont appelé </w:t>
      </w:r>
      <w:proofErr w:type="spellStart"/>
      <w:r w:rsidRPr="00EA34DA">
        <w:rPr>
          <w:i/>
        </w:rPr>
        <w:t>Bildungsroman</w:t>
      </w:r>
      <w:proofErr w:type="spellEnd"/>
      <w:r w:rsidRPr="00447A9A">
        <w:rPr>
          <w:rStyle w:val="Accentuation"/>
          <w:rFonts w:ascii="Garamond" w:hAnsi="Garamond"/>
        </w:rPr>
        <w:t xml:space="preserve">, </w:t>
      </w:r>
      <w:r w:rsidRPr="00EA34DA">
        <w:t>« roman de formation » (« histoire</w:t>
      </w:r>
      <w:r>
        <w:t xml:space="preserve"> d’une « </w:t>
      </w:r>
      <w:r w:rsidRPr="00447A9A">
        <w:t xml:space="preserve">âme qui va dans le monde pour apprendre à se connaître, cherche des aventures pour s’éprouver en elles et, par cette preuve, donne sa mesure et découvre sa propre essence » selon </w:t>
      </w:r>
      <w:r w:rsidRPr="006E1D3F">
        <w:t>G. Lukács, 1971)</w:t>
      </w:r>
      <w:r>
        <w:t xml:space="preserve"> ? </w:t>
      </w:r>
      <w:r w:rsidRPr="00EA34DA">
        <w:t>Ayant procédé à son écriture</w:t>
      </w:r>
      <w:r w:rsidRPr="00F747B0">
        <w:rPr>
          <w:rStyle w:val="Accentuation"/>
          <w:rFonts w:ascii="Garamond" w:hAnsi="Garamond"/>
        </w:rPr>
        <w:t xml:space="preserve"> </w:t>
      </w:r>
      <w:r>
        <w:t xml:space="preserve">avec une pointe de mélancolie (« Les atteintes du grand âge ont fait que ces livres [des auteurs qu’il citerait] sont devenus mes compagnons, meublant ma solitude »), </w:t>
      </w:r>
      <w:r w:rsidRPr="00EA34DA">
        <w:t xml:space="preserve">et se déclarant en ouverture </w:t>
      </w:r>
      <w:r>
        <w:t xml:space="preserve">« pénétré de l’unité de l’humanité », en historien soucieux de pluridisciplinarité en SHS, H. </w:t>
      </w:r>
      <w:proofErr w:type="spellStart"/>
      <w:r>
        <w:t>Djaït</w:t>
      </w:r>
      <w:proofErr w:type="spellEnd"/>
      <w:r>
        <w:t xml:space="preserve"> </w:t>
      </w:r>
      <w:r w:rsidRPr="00EA34DA">
        <w:t>s’engage dans une</w:t>
      </w:r>
      <w:r>
        <w:rPr>
          <w:rStyle w:val="Accentuation"/>
          <w:rFonts w:ascii="Garamond" w:hAnsi="Garamond"/>
        </w:rPr>
        <w:t xml:space="preserve"> </w:t>
      </w:r>
      <w:r>
        <w:t xml:space="preserve">réflexion sur les notions d’Orient et d’Occident conduite « à l’échelle mondiale » en réduisant la focale à « la religion ». De « la » religion il déclare </w:t>
      </w:r>
      <w:proofErr w:type="spellStart"/>
      <w:r>
        <w:t>liminairement</w:t>
      </w:r>
      <w:proofErr w:type="spellEnd"/>
      <w:r>
        <w:t xml:space="preserve"> : </w:t>
      </w:r>
    </w:p>
    <w:p w:rsidR="0096663F" w:rsidRDefault="0096663F" w:rsidP="006E1D3F">
      <w:pPr>
        <w:pStyle w:val="VDICitation"/>
      </w:pPr>
      <w:r>
        <w:t xml:space="preserve">J’ai été toujours préoccupé par le rôle de la religion dans l’histoire [...]. Le fait qu’une partie de cette même humanité s’en soit éloignée et l’a de </w:t>
      </w:r>
      <w:proofErr w:type="gramStart"/>
      <w:r>
        <w:t>fait expulsée</w:t>
      </w:r>
      <w:proofErr w:type="gramEnd"/>
      <w:r>
        <w:t xml:space="preserve"> de ses préoccupations, à l’époque moderne, pose problème, le problème de l’apparition même de la modernité en relation avec le religieux, mais aussi les réactions à ce rejet d’autres zones, tel le monde musulman. </w:t>
      </w:r>
    </w:p>
    <w:p w:rsidR="006E1D3F" w:rsidRDefault="0096663F" w:rsidP="00EA34DA">
      <w:pPr>
        <w:pStyle w:val="Corps"/>
      </w:pPr>
      <w:r>
        <w:t>Parcourant les Antiquités (chinoise, mésopotamienne, égyptienne, indienne et grecque) au prisme de la théorie de Karl Jaspers sur l’</w:t>
      </w:r>
      <w:r w:rsidRPr="00290092">
        <w:rPr>
          <w:i/>
        </w:rPr>
        <w:t>âge axial</w:t>
      </w:r>
      <w:r>
        <w:rPr>
          <w:i/>
        </w:rPr>
        <w:t xml:space="preserve"> </w:t>
      </w:r>
      <w:r>
        <w:t xml:space="preserve">(in </w:t>
      </w:r>
      <w:r w:rsidRPr="00B464B4">
        <w:rPr>
          <w:i/>
        </w:rPr>
        <w:t>Origine et sens de l'histoire</w:t>
      </w:r>
      <w:r>
        <w:t>, 1949), soit entre – 800 à – 200 (</w:t>
      </w:r>
      <w:r w:rsidRPr="00E13997">
        <w:t>avènement</w:t>
      </w:r>
      <w:r>
        <w:t xml:space="preserve"> limité par H. </w:t>
      </w:r>
      <w:proofErr w:type="spellStart"/>
      <w:r>
        <w:t>Djaït</w:t>
      </w:r>
      <w:proofErr w:type="spellEnd"/>
      <w:r>
        <w:t xml:space="preserve"> à la « philosophie » grecque, aux confucianisme et taoïsme, au bouddhisme et à la « prophétie d’Israël »), il en arrive à poser « comme un autre </w:t>
      </w:r>
      <w:r w:rsidRPr="00290092">
        <w:rPr>
          <w:i/>
        </w:rPr>
        <w:t>âge axial</w:t>
      </w:r>
      <w:r>
        <w:t xml:space="preserve"> » un « Moyen-Orient sémitique, égyptien, iranien [...] créateur de ce qui devint pour l’avenir les grandes religions monothéistes » : judaïsme, christianisme et islam, mais aussi zoroastrisme et gnose. Pour lui, ces religions ne sont pas nées « des grands centres civilisateurs, mais des marges des refusés de l’histoire et parce que refusés de l’histoire. La pensée et la foi seraient-elles des compensations à l’échec de la vie réelle, qui vise la puissance et le bonheur ? » </w:t>
      </w:r>
    </w:p>
    <w:p w:rsidR="00580230" w:rsidRDefault="0096663F" w:rsidP="00EA34DA">
      <w:pPr>
        <w:pStyle w:val="Corps"/>
      </w:pPr>
      <w:r>
        <w:lastRenderedPageBreak/>
        <w:t xml:space="preserve">Accordant une place décisive à la Gnose (Antiquité tardive), il conçoit le christianisme comme « une synthèse du judaïsme et de l’hellénisme avec une possible pointe de gnosticisme ». Sur la place de l’islam dans l’aventure de l’humanité, H. </w:t>
      </w:r>
      <w:proofErr w:type="spellStart"/>
      <w:r>
        <w:t>Djaït</w:t>
      </w:r>
      <w:proofErr w:type="spellEnd"/>
      <w:r>
        <w:t xml:space="preserve"> pose une question : « Pourquoi la religion islamique est-elle ou la crut-on particulièrement apte à porter des constructions politiques ? » et donne la réponse suivante : « C’est que dès l’origine elle fut liée à la chose politique et militaire ». Sur le processus d’expansion de l’</w:t>
      </w:r>
      <w:r w:rsidR="00580230">
        <w:t>i</w:t>
      </w:r>
      <w:r>
        <w:t xml:space="preserve">slam, il écrit : </w:t>
      </w:r>
    </w:p>
    <w:p w:rsidR="00580230" w:rsidRDefault="0096663F" w:rsidP="00580230">
      <w:pPr>
        <w:pStyle w:val="VDICitation"/>
      </w:pPr>
      <w:r>
        <w:t xml:space="preserve">Les conquérants [arabes] n’ont en rien cherché à islamiser les peuples vaincus ; il s’agit qu’ils s’islamisent eux-mêmes en dehors de leurs anciennes demeures. L’extériorisation est devenue l’instrument nécessaire de l’intériorisation de l’islam. C’est à peu près le même processus, quoiqu’inversé, qui a fait adopter par les Hébreux, de la confédération des tribus leur dieu guerrier et conquérir la Palestine à une époque reculée. </w:t>
      </w:r>
    </w:p>
    <w:p w:rsidR="00580230" w:rsidRDefault="0096663F" w:rsidP="00EA34DA">
      <w:pPr>
        <w:pStyle w:val="Corps"/>
      </w:pPr>
      <w:r>
        <w:t xml:space="preserve">Retraçant parallèlement les parcours philosophiques des mondes chrétien et islamique médiévaux, il oppose la philosophie musulmane (féconde héritière en traduction arabe de la philosophie grecque) à la scolastique européenne (qui, des philosophes arabes, avait recueilli en particulier l’héritage aristotélicien) : </w:t>
      </w:r>
    </w:p>
    <w:p w:rsidR="00580230" w:rsidRDefault="0096663F" w:rsidP="00580230">
      <w:pPr>
        <w:pStyle w:val="VDICitation"/>
      </w:pPr>
      <w:r>
        <w:t xml:space="preserve">Les philosophes musulmans ne peuvent qu’être incroyants quand ils partent de la pensée discursive à laquelle ils adhèrent essentiellement [...] alors que Thomas [d’Aquin] et les scolastiques restent des théologiens tolérants et seulement adeptes du discours de type philosophique [...]. Aussi la philosophie islamique ne tarda pas à disparaître alors que la scolastique fut à l’origine de la philosophie des Modernes. </w:t>
      </w:r>
    </w:p>
    <w:p w:rsidR="0096663F" w:rsidRDefault="0096663F" w:rsidP="00580230">
      <w:pPr>
        <w:pStyle w:val="Corps"/>
      </w:pPr>
      <w:r>
        <w:t>Il appelle « philosophie des Modernes » la pensée éclose en Europe au XVII</w:t>
      </w:r>
      <w:r w:rsidRPr="005E53A9">
        <w:rPr>
          <w:vertAlign w:val="superscript"/>
        </w:rPr>
        <w:t>e</w:t>
      </w:r>
      <w:r>
        <w:t xml:space="preserve"> siècle et épanouie au XVIII</w:t>
      </w:r>
      <w:r w:rsidRPr="005E53A9">
        <w:rPr>
          <w:vertAlign w:val="superscript"/>
        </w:rPr>
        <w:t xml:space="preserve">e </w:t>
      </w:r>
      <w:r>
        <w:t>siècle. À partir du XIX</w:t>
      </w:r>
      <w:r w:rsidRPr="00846DAB">
        <w:rPr>
          <w:vertAlign w:val="superscript"/>
        </w:rPr>
        <w:t>e</w:t>
      </w:r>
      <w:r>
        <w:t xml:space="preserve"> siècle, il voit poindre en Occident « l’affaiblissement du christianisme jusqu’à sa disparition de fait dans la société </w:t>
      </w:r>
      <w:proofErr w:type="gramStart"/>
      <w:r>
        <w:t>occidentale</w:t>
      </w:r>
      <w:proofErr w:type="gramEnd"/>
      <w:r>
        <w:t xml:space="preserve"> d’aujourd’hui. </w:t>
      </w:r>
    </w:p>
    <w:p w:rsidR="0096663F" w:rsidRPr="008F79B2" w:rsidRDefault="0096663F" w:rsidP="00EA34DA">
      <w:pPr>
        <w:pStyle w:val="VDIIntertitre"/>
      </w:pPr>
      <w:r w:rsidRPr="008F79B2">
        <w:t xml:space="preserve">Illégitimité ou légitimité de la Modernité ? </w:t>
      </w:r>
    </w:p>
    <w:p w:rsidR="0096663F" w:rsidRDefault="0096663F" w:rsidP="00EA34DA">
      <w:pPr>
        <w:pStyle w:val="Corps"/>
      </w:pPr>
      <w:r>
        <w:t xml:space="preserve">H. </w:t>
      </w:r>
      <w:proofErr w:type="spellStart"/>
      <w:r>
        <w:t>Djaït</w:t>
      </w:r>
      <w:proofErr w:type="spellEnd"/>
      <w:r>
        <w:t xml:space="preserve"> pose la Modernité « comme moment de l’histoire universelle issu d’une civilisation particulière ». Il ne définit pas ce qu’il qualifie de « civilisation » (un concept tardif, Adam Ferguson, XVIII</w:t>
      </w:r>
      <w:r w:rsidRPr="004C6C71">
        <w:rPr>
          <w:vertAlign w:val="superscript"/>
        </w:rPr>
        <w:t xml:space="preserve">e </w:t>
      </w:r>
      <w:r>
        <w:t>siècle), il présente la période 1900-1910 comme l</w:t>
      </w:r>
      <w:proofErr w:type="gramStart"/>
      <w:r>
        <w:t>’«</w:t>
      </w:r>
      <w:proofErr w:type="gramEnd"/>
      <w:r>
        <w:t xml:space="preserve"> apogée de la civilisation européenne et [...] veille de son autodestruction ». Dans la suite de l’ouvrage, il réduit essentiellement la « civilisation » au domaine des </w:t>
      </w:r>
      <w:r>
        <w:lastRenderedPageBreak/>
        <w:t>productions de l’esprit. Il part du rejet de la religion par les Lumières françaises et écrit : « La pensée française antireligieuse des Lumières est appelée à envahir le monde, inéluctablement, épaulée plus tard par les autres productions de la modernité, soit la science, le capitalisme, l’industrie et la technique ». Accordant une place décisive à Hegel et à sa pensée de Dieu (comme dans ses essais des années 1970), il y voit une « vision complexe et originale, qui, à mon sens, dépasse ce qu’en di</w:t>
      </w:r>
      <w:r w:rsidR="00580230">
        <w:t>sen</w:t>
      </w:r>
      <w:r>
        <w:t xml:space="preserve">t Descartes, Spinoza, Leibniz et Kant, dont la vision sur ce point semble terre-à-terre » et, s’inspirant de K. </w:t>
      </w:r>
      <w:proofErr w:type="spellStart"/>
      <w:r>
        <w:t>Löwith</w:t>
      </w:r>
      <w:proofErr w:type="spellEnd"/>
      <w:r>
        <w:t xml:space="preserve"> (</w:t>
      </w:r>
      <w:r w:rsidRPr="0083398C">
        <w:rPr>
          <w:i/>
        </w:rPr>
        <w:t>De Hegel à Nie</w:t>
      </w:r>
      <w:r>
        <w:rPr>
          <w:i/>
        </w:rPr>
        <w:t>tz</w:t>
      </w:r>
      <w:r w:rsidRPr="0083398C">
        <w:rPr>
          <w:i/>
        </w:rPr>
        <w:t>sche</w:t>
      </w:r>
      <w:r>
        <w:t xml:space="preserve">, 1935), résume l’entreprise des Jeunes hégéliens (Ludwig Feuerbach, Bruno Bauer, Arnold Ruge, David Strauss) à une pensée de la « démolition de la religion ». </w:t>
      </w:r>
      <w:r>
        <w:rPr>
          <w:color w:val="000000" w:themeColor="text1"/>
        </w:rPr>
        <w:t>Il conclut : « La seule idée qu’on puisse retenir de toute cette fermentation intellectuelle des XIX</w:t>
      </w:r>
      <w:r w:rsidRPr="00AB1599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et XX</w:t>
      </w:r>
      <w:r w:rsidRPr="00AB1599">
        <w:rPr>
          <w:color w:val="000000" w:themeColor="text1"/>
          <w:vertAlign w:val="superscript"/>
        </w:rPr>
        <w:t xml:space="preserve">e </w:t>
      </w:r>
      <w:r>
        <w:rPr>
          <w:color w:val="000000" w:themeColor="text1"/>
        </w:rPr>
        <w:t xml:space="preserve">siècles est bien l’idée hégélienne qui, épurée, consiste à nier l’au-delà au nom d’une rationalité raisonnable, et de poser Dieu comme une représentation humaine ». </w:t>
      </w:r>
      <w:r>
        <w:t xml:space="preserve">Dans </w:t>
      </w:r>
      <w:r w:rsidRPr="008377DA">
        <w:rPr>
          <w:i/>
        </w:rPr>
        <w:t>L’Europe et l’Islam</w:t>
      </w:r>
      <w:r>
        <w:t xml:space="preserve">, ayant pointé </w:t>
      </w:r>
      <w:r w:rsidRPr="00121C05">
        <w:t xml:space="preserve">la proposition et l’imposition de la « frénésie développementaliste dont [l’Occident] suffoque aujourd’hui </w:t>
      </w:r>
      <w:r>
        <w:t>[1978] », il avait affirmé</w:t>
      </w:r>
      <w:r w:rsidRPr="00121C05">
        <w:t xml:space="preserve"> que « sa modernité a dévoré sa culture »</w:t>
      </w:r>
      <w:r>
        <w:t xml:space="preserve"> et </w:t>
      </w:r>
      <w:r w:rsidRPr="00121C05">
        <w:t>parlait du « don à la fois bénéfique et vénéneux » de la culture occidentale à d’autres cultures</w:t>
      </w:r>
      <w:r>
        <w:t>. En 2021</w:t>
      </w:r>
      <w:r w:rsidRPr="00121C05">
        <w:t xml:space="preserve">, </w:t>
      </w:r>
      <w:r>
        <w:t xml:space="preserve">il reprend les termes de son diagnostic ancien, confirmant « l’éviction du religieux de la civilisation occidentale avec pour corollaire l’expansion de cette éviction à travers le monde du fait de l’expansion de la modernité dans ses divers aspects, avec les problèmes que cela pose dans certaines aires culturelles, notamment islamiques ». </w:t>
      </w:r>
    </w:p>
    <w:p w:rsidR="00580230" w:rsidRDefault="0096663F" w:rsidP="00EA34DA">
      <w:pPr>
        <w:pStyle w:val="Corps"/>
        <w:rPr>
          <w:color w:val="000000" w:themeColor="text1"/>
        </w:rPr>
      </w:pPr>
      <w:r>
        <w:t xml:space="preserve">Pour récuser une nécessaire opposition, voire pour marquer une certaine continuité entre religion et modernité, H. </w:t>
      </w:r>
      <w:proofErr w:type="spellStart"/>
      <w:r>
        <w:t>Djaït</w:t>
      </w:r>
      <w:proofErr w:type="spellEnd"/>
      <w:r>
        <w:t xml:space="preserve"> sollicite l’antienne wébérienne sur les racines protestantes du capitalisme ; s’agissant de la question de la « sécularisation », il s’appuie sur les thèses de Carl Schmitt (</w:t>
      </w:r>
      <w:r w:rsidRPr="00D34D4E">
        <w:rPr>
          <w:i/>
        </w:rPr>
        <w:t>Théologie politique</w:t>
      </w:r>
      <w:r>
        <w:t xml:space="preserve">, 1922/1970) et de Karl </w:t>
      </w:r>
      <w:proofErr w:type="spellStart"/>
      <w:r>
        <w:t>Löwith</w:t>
      </w:r>
      <w:proofErr w:type="spellEnd"/>
      <w:r>
        <w:t xml:space="preserve"> (</w:t>
      </w:r>
      <w:r w:rsidRPr="00D34D4E">
        <w:rPr>
          <w:i/>
        </w:rPr>
        <w:t>Histoire et Salut</w:t>
      </w:r>
      <w:r>
        <w:t xml:space="preserve">, 1949), tous deux contempteurs de la « légitimité des temps modernes », négateurs de leur auto-fondation, partisans de l’idée d’une modernité comme « sécularisation de la pensée religieuse chrétienne » ; et il récuse la pensée contraire de H. </w:t>
      </w:r>
      <w:proofErr w:type="spellStart"/>
      <w:r>
        <w:t>Blumenberg</w:t>
      </w:r>
      <w:proofErr w:type="spellEnd"/>
      <w:r>
        <w:t xml:space="preserve"> et son ouvrage défendant </w:t>
      </w:r>
      <w:r w:rsidRPr="00D34D4E">
        <w:rPr>
          <w:i/>
        </w:rPr>
        <w:t>La légitimité des temps modernes</w:t>
      </w:r>
      <w:r>
        <w:rPr>
          <w:i/>
        </w:rPr>
        <w:t xml:space="preserve"> (</w:t>
      </w:r>
      <w:r w:rsidRPr="00367838">
        <w:t>1966).</w:t>
      </w:r>
      <w:r>
        <w:t xml:space="preserve"> </w:t>
      </w:r>
      <w:r>
        <w:rPr>
          <w:color w:val="000000" w:themeColor="text1"/>
        </w:rPr>
        <w:t xml:space="preserve">De M. </w:t>
      </w:r>
      <w:proofErr w:type="spellStart"/>
      <w:r>
        <w:rPr>
          <w:color w:val="000000" w:themeColor="text1"/>
        </w:rPr>
        <w:t>Gauchet</w:t>
      </w:r>
      <w:proofErr w:type="spellEnd"/>
      <w:r>
        <w:rPr>
          <w:color w:val="000000" w:themeColor="text1"/>
        </w:rPr>
        <w:t xml:space="preserve"> (</w:t>
      </w:r>
      <w:r w:rsidRPr="00D34D4E">
        <w:rPr>
          <w:i/>
          <w:color w:val="000000" w:themeColor="text1"/>
        </w:rPr>
        <w:t>Le désenchantement du monde</w:t>
      </w:r>
      <w:r>
        <w:rPr>
          <w:color w:val="000000" w:themeColor="text1"/>
        </w:rPr>
        <w:t xml:space="preserve">, 1985), il conteste « deux idées fondamentales, à savoir sa lecture des origines du monothéisme, sa vision du rôle de l’homme Jésus et sa théorie de l’Incarnation comme étant à l’origine de la sortie de la religion, en Occident tout au moins » ; de l’avis de H. </w:t>
      </w:r>
      <w:proofErr w:type="spellStart"/>
      <w:r>
        <w:rPr>
          <w:color w:val="000000" w:themeColor="text1"/>
        </w:rPr>
        <w:t>Djaït</w:t>
      </w:r>
      <w:proofErr w:type="spellEnd"/>
      <w:r>
        <w:rPr>
          <w:color w:val="000000" w:themeColor="text1"/>
        </w:rPr>
        <w:t xml:space="preserve"> « les idées de l’homme-Jésus semblent secondaires dans la construction du christianisme », seul comptant son itinéraire et « de manière centrale, la crucifixion », concluant qu’« il n’est pas prouvé que l’humanisme moral de la modernité dérive de l’idée de l’humanité du Christ en </w:t>
      </w:r>
      <w:r>
        <w:rPr>
          <w:color w:val="000000" w:themeColor="text1"/>
        </w:rPr>
        <w:lastRenderedPageBreak/>
        <w:t xml:space="preserve">tant que Dieu-homme, mais de son éthique ». H. </w:t>
      </w:r>
      <w:proofErr w:type="spellStart"/>
      <w:r>
        <w:rPr>
          <w:color w:val="000000" w:themeColor="text1"/>
        </w:rPr>
        <w:t>Djaït</w:t>
      </w:r>
      <w:proofErr w:type="spellEnd"/>
      <w:r>
        <w:rPr>
          <w:color w:val="000000" w:themeColor="text1"/>
        </w:rPr>
        <w:t xml:space="preserve"> achève son ouvrage sur un « </w:t>
      </w:r>
      <w:r w:rsidRPr="00B533CD">
        <w:t>constat définitif et vrai »</w:t>
      </w:r>
      <w:r>
        <w:rPr>
          <w:i/>
        </w:rPr>
        <w:t xml:space="preserve"> </w:t>
      </w:r>
      <w:r>
        <w:rPr>
          <w:color w:val="000000" w:themeColor="text1"/>
        </w:rPr>
        <w:t xml:space="preserve">et une interrogation : </w:t>
      </w:r>
    </w:p>
    <w:p w:rsidR="0096663F" w:rsidRDefault="0096663F" w:rsidP="00580230">
      <w:pPr>
        <w:pStyle w:val="VDICitation"/>
      </w:pPr>
      <w:r>
        <w:t xml:space="preserve">L’importance du livre de </w:t>
      </w:r>
      <w:proofErr w:type="spellStart"/>
      <w:r>
        <w:t>Gauchet</w:t>
      </w:r>
      <w:proofErr w:type="spellEnd"/>
      <w:r>
        <w:t>, c’est le </w:t>
      </w:r>
      <w:r w:rsidRPr="00B533CD">
        <w:t>constat définitif et vrai</w:t>
      </w:r>
      <w:r>
        <w:t xml:space="preserve"> que le monde moderne est bien sorti de la religion. Il l’a été de plus en plus depuis le XVIII</w:t>
      </w:r>
      <w:r w:rsidRPr="002C1CFA">
        <w:rPr>
          <w:vertAlign w:val="superscript"/>
        </w:rPr>
        <w:t xml:space="preserve">e </w:t>
      </w:r>
      <w:r>
        <w:t xml:space="preserve">siècle, en suivant une ligne bien claire et tout à fait décisive. Reste à voir si la sécularité, la libération du poids du religieux, va s’étendre à toute l’humanité et si elle va triompher des résistances. </w:t>
      </w:r>
    </w:p>
    <w:p w:rsidR="0096663F" w:rsidRPr="008F79B2" w:rsidRDefault="0096663F" w:rsidP="00EA34DA">
      <w:pPr>
        <w:pStyle w:val="VDIIntertitre"/>
      </w:pPr>
      <w:bookmarkStart w:id="0" w:name="_GoBack"/>
      <w:bookmarkEnd w:id="0"/>
      <w:r w:rsidRPr="008F79B2">
        <w:t xml:space="preserve">Pour poursuivre la réflexion de H. </w:t>
      </w:r>
      <w:proofErr w:type="spellStart"/>
      <w:r w:rsidRPr="008F79B2">
        <w:t>Djaït</w:t>
      </w:r>
      <w:proofErr w:type="spellEnd"/>
    </w:p>
    <w:p w:rsidR="0096663F" w:rsidRDefault="00580230" w:rsidP="00EA34DA">
      <w:pPr>
        <w:pStyle w:val="Corps"/>
      </w:pPr>
      <w:r>
        <w:t>C</w:t>
      </w:r>
      <w:r w:rsidR="0096663F">
        <w:t>et ouvrage de 2021</w:t>
      </w:r>
      <w:r>
        <w:t xml:space="preserve"> offre</w:t>
      </w:r>
      <w:r w:rsidR="0096663F">
        <w:t xml:space="preserve"> un condensé de la double culture de H. </w:t>
      </w:r>
      <w:proofErr w:type="spellStart"/>
      <w:r w:rsidR="0096663F">
        <w:t>Djaït</w:t>
      </w:r>
      <w:proofErr w:type="spellEnd"/>
      <w:r w:rsidR="0096663F">
        <w:t xml:space="preserve">, et tout particulièrement de la représentation qu’il se fait de la culture occidentale, de l’interprétation qu’il en donne, ce qu’il nomme « quelques idées de mon cru » (Avant-Propos). Comment </w:t>
      </w:r>
      <w:r w:rsidR="0096663F" w:rsidRPr="00AD5C37">
        <w:t xml:space="preserve">évaluer </w:t>
      </w:r>
      <w:r w:rsidR="0096663F">
        <w:t>l’apport de cet ouvrage ? Le lecteur curieux, mais non spécialiste</w:t>
      </w:r>
      <w:r>
        <w:t>,</w:t>
      </w:r>
      <w:r w:rsidR="0096663F">
        <w:t xml:space="preserve"> aura du mal à se faire une idée personnelle</w:t>
      </w:r>
      <w:r>
        <w:t>,</w:t>
      </w:r>
      <w:r w:rsidR="0096663F">
        <w:t xml:space="preserve"> du fait d’un </w:t>
      </w:r>
      <w:r w:rsidR="0096663F" w:rsidRPr="00AD5C37">
        <w:t>appareil bibliographiq</w:t>
      </w:r>
      <w:r w:rsidR="0096663F">
        <w:t xml:space="preserve">ue explicite très réduit et, en conséquence, de la difficulté de </w:t>
      </w:r>
      <w:r w:rsidR="0096663F" w:rsidRPr="00AD5C37">
        <w:t xml:space="preserve">« dater » </w:t>
      </w:r>
      <w:r w:rsidR="0096663F">
        <w:t xml:space="preserve">les </w:t>
      </w:r>
      <w:r w:rsidR="0096663F" w:rsidRPr="00AD5C37">
        <w:t xml:space="preserve">auteurs </w:t>
      </w:r>
      <w:r w:rsidR="0096663F">
        <w:t>(et les œuvres) et de « situer » les théories et théoriciens</w:t>
      </w:r>
      <w:r w:rsidR="0096663F" w:rsidRPr="00AD5C37">
        <w:t xml:space="preserve"> mobilisés</w:t>
      </w:r>
      <w:r w:rsidR="0096663F">
        <w:t xml:space="preserve"> sur les</w:t>
      </w:r>
      <w:r w:rsidR="0096663F" w:rsidRPr="00AD5C37">
        <w:t xml:space="preserve"> sujets abordés.</w:t>
      </w:r>
      <w:r w:rsidR="0096663F">
        <w:t xml:space="preserve"> On se tromperait à évaluer l’ouvrage </w:t>
      </w:r>
      <w:r w:rsidR="0096663F" w:rsidRPr="00AD5C37">
        <w:t xml:space="preserve">au prisme de l’état scientifique </w:t>
      </w:r>
      <w:r w:rsidR="0096663F">
        <w:t xml:space="preserve">d’aujourd’hui sur ces mêmes questions. </w:t>
      </w:r>
      <w:r w:rsidR="0096663F" w:rsidRPr="006E2FF4">
        <w:t xml:space="preserve">H. </w:t>
      </w:r>
      <w:proofErr w:type="spellStart"/>
      <w:r w:rsidR="0096663F" w:rsidRPr="006E2FF4">
        <w:t>Djaït</w:t>
      </w:r>
      <w:proofErr w:type="spellEnd"/>
      <w:r w:rsidR="0096663F" w:rsidRPr="00AD5C37">
        <w:t xml:space="preserve"> </w:t>
      </w:r>
      <w:r w:rsidR="0096663F">
        <w:t>avait pris la précaution d’avertir</w:t>
      </w:r>
      <w:r w:rsidR="0096663F" w:rsidRPr="00AD5C37">
        <w:t xml:space="preserve"> dès le départ : s’agissant du christianisme en particulier il s’est fondé « sur les écrits historiques de la première moitié du XX</w:t>
      </w:r>
      <w:r w:rsidR="0096663F" w:rsidRPr="00AD5C37">
        <w:rPr>
          <w:vertAlign w:val="superscript"/>
        </w:rPr>
        <w:t>e</w:t>
      </w:r>
      <w:r w:rsidR="0096663F" w:rsidRPr="00AD5C37">
        <w:t xml:space="preserve"> siècle »</w:t>
      </w:r>
      <w:r w:rsidR="0096663F">
        <w:t>, en l’occurrence</w:t>
      </w:r>
      <w:r w:rsidR="0096663F" w:rsidRPr="00AD5C37">
        <w:t> </w:t>
      </w:r>
      <w:r w:rsidR="0096663F">
        <w:t>d’</w:t>
      </w:r>
      <w:r w:rsidR="0096663F" w:rsidRPr="00AD5C37">
        <w:t>A. Loisy</w:t>
      </w:r>
      <w:r w:rsidR="0096663F">
        <w:t xml:space="preserve"> (1857-1940) et de Ch. Guignebert (</w:t>
      </w:r>
      <w:r w:rsidR="0096663F" w:rsidRPr="00AD5C37">
        <w:t>1867-1939</w:t>
      </w:r>
      <w:r w:rsidR="0096663F">
        <w:t>), disciples d’E. Renan (1823-1892). S</w:t>
      </w:r>
      <w:r w:rsidR="0096663F" w:rsidRPr="00AD5C37">
        <w:t xml:space="preserve">’agissant des </w:t>
      </w:r>
      <w:r w:rsidR="0096663F">
        <w:t xml:space="preserve">mondes </w:t>
      </w:r>
      <w:r w:rsidR="0096663F" w:rsidRPr="00AD5C37">
        <w:t xml:space="preserve">autres </w:t>
      </w:r>
      <w:r w:rsidR="0096663F">
        <w:t xml:space="preserve">qu’islamique, il fait référence essentiellement </w:t>
      </w:r>
      <w:r w:rsidR="0096663F" w:rsidRPr="00AD5C37">
        <w:t xml:space="preserve">à des auteurs </w:t>
      </w:r>
      <w:r w:rsidR="0096663F">
        <w:t xml:space="preserve">qui firent autorité en leur temps </w:t>
      </w:r>
      <w:r w:rsidR="0096663F" w:rsidRPr="00AD5C37">
        <w:t xml:space="preserve">et </w:t>
      </w:r>
      <w:r w:rsidR="0096663F">
        <w:t xml:space="preserve">à </w:t>
      </w:r>
      <w:r w:rsidR="0096663F" w:rsidRPr="00AD5C37">
        <w:t xml:space="preserve">des </w:t>
      </w:r>
      <w:r w:rsidR="0096663F">
        <w:t>œuvres</w:t>
      </w:r>
      <w:r w:rsidR="0096663F" w:rsidRPr="00AD5C37">
        <w:t xml:space="preserve"> aujourd’hui très </w:t>
      </w:r>
      <w:r w:rsidR="0096663F">
        <w:t xml:space="preserve">datées : M. Weber (1864-1920), H. Maspero </w:t>
      </w:r>
      <w:r w:rsidR="0096663F" w:rsidRPr="00AD5C37">
        <w:t>(1883-1945), M. Granet (1884</w:t>
      </w:r>
      <w:r w:rsidR="0096663F">
        <w:t>-1940), E. R. Dodds (1893-1979),</w:t>
      </w:r>
      <w:r w:rsidR="0096663F" w:rsidRPr="00AD5C37">
        <w:t xml:space="preserve"> G. Dumézil (1898-1986)</w:t>
      </w:r>
      <w:r w:rsidR="0096663F">
        <w:t xml:space="preserve">, </w:t>
      </w:r>
      <w:r>
        <w:t>etc.</w:t>
      </w:r>
      <w:r w:rsidR="0096663F">
        <w:t xml:space="preserve">, mais depuis ces auteurs, en particulier sur le Zoroastrisme, la Grèce (classique et hellénistique), le </w:t>
      </w:r>
      <w:r>
        <w:t>j</w:t>
      </w:r>
      <w:r w:rsidR="0096663F">
        <w:t xml:space="preserve">udaïsme (sacerdotal puis rabbinique), le judéo-christianisme et le christianisme initial (pré-constantinien) et médiéval, successivement plusieurs générations d’archéologues, historiens et philologues ont développé de nouvelles approches et souvent bouleversé nombre de connaissances anciennes. La théorie </w:t>
      </w:r>
      <w:proofErr w:type="spellStart"/>
      <w:r w:rsidR="0096663F">
        <w:t>jaspérienne</w:t>
      </w:r>
      <w:proofErr w:type="spellEnd"/>
      <w:r w:rsidR="0096663F">
        <w:t xml:space="preserve"> de </w:t>
      </w:r>
      <w:r w:rsidR="0096663F" w:rsidRPr="006E414A">
        <w:t>l’</w:t>
      </w:r>
      <w:r w:rsidR="0096663F" w:rsidRPr="006E414A">
        <w:rPr>
          <w:i/>
        </w:rPr>
        <w:t>âge axial</w:t>
      </w:r>
      <w:r w:rsidR="0096663F">
        <w:t xml:space="preserve"> a été depuis sa formulation (1949) sujette à révisions, voire à contestations (par ex. de E. </w:t>
      </w:r>
      <w:proofErr w:type="spellStart"/>
      <w:r w:rsidR="0096663F">
        <w:t>Voegelin</w:t>
      </w:r>
      <w:proofErr w:type="spellEnd"/>
      <w:r w:rsidR="0096663F">
        <w:t xml:space="preserve">, J. </w:t>
      </w:r>
      <w:proofErr w:type="spellStart"/>
      <w:r w:rsidR="0096663F">
        <w:t>Assmann</w:t>
      </w:r>
      <w:proofErr w:type="spellEnd"/>
      <w:r w:rsidR="0096663F">
        <w:t xml:space="preserve">, J. </w:t>
      </w:r>
      <w:proofErr w:type="spellStart"/>
      <w:r w:rsidR="0096663F">
        <w:t>Kellens</w:t>
      </w:r>
      <w:proofErr w:type="spellEnd"/>
      <w:r w:rsidR="0096663F">
        <w:t xml:space="preserve">, </w:t>
      </w:r>
      <w:r>
        <w:t>etc.</w:t>
      </w:r>
      <w:r w:rsidR="0096663F">
        <w:t xml:space="preserve">). Et surtout la « controverse sur la sécularisation » était loin dans les années 1960 de se limiter à </w:t>
      </w:r>
      <w:r>
        <w:rPr>
          <w:color w:val="000000" w:themeColor="text1"/>
        </w:rPr>
        <w:t>K</w:t>
      </w:r>
      <w:r w:rsidR="0096663F" w:rsidRPr="00AD5C37">
        <w:rPr>
          <w:color w:val="000000" w:themeColor="text1"/>
        </w:rPr>
        <w:t xml:space="preserve">. Schmitt, K. </w:t>
      </w:r>
      <w:proofErr w:type="spellStart"/>
      <w:r w:rsidR="0096663F" w:rsidRPr="00AD5C37">
        <w:rPr>
          <w:color w:val="000000" w:themeColor="text1"/>
        </w:rPr>
        <w:t>Löwith</w:t>
      </w:r>
      <w:proofErr w:type="spellEnd"/>
      <w:r w:rsidR="0096663F" w:rsidRPr="00AD5C37">
        <w:rPr>
          <w:color w:val="000000" w:themeColor="text1"/>
        </w:rPr>
        <w:t xml:space="preserve"> </w:t>
      </w:r>
      <w:r w:rsidR="0096663F" w:rsidRPr="00AD5C37">
        <w:t>et</w:t>
      </w:r>
      <w:r w:rsidR="0096663F">
        <w:t xml:space="preserve"> H. </w:t>
      </w:r>
      <w:proofErr w:type="spellStart"/>
      <w:r w:rsidR="0096663F">
        <w:t>Blumenberg</w:t>
      </w:r>
      <w:proofErr w:type="spellEnd"/>
      <w:r w:rsidR="0096663F">
        <w:t xml:space="preserve"> (il faudrait au moins ajouter E. </w:t>
      </w:r>
      <w:proofErr w:type="spellStart"/>
      <w:r w:rsidR="0096663F">
        <w:t>Voegelin</w:t>
      </w:r>
      <w:proofErr w:type="spellEnd"/>
      <w:r w:rsidR="0096663F">
        <w:t xml:space="preserve"> et L. Strauss), elle avait des racines anciennes (l’essentiel de l’œuvre </w:t>
      </w:r>
      <w:proofErr w:type="gramStart"/>
      <w:r w:rsidR="0096663F">
        <w:t>des deux premiers date</w:t>
      </w:r>
      <w:proofErr w:type="gramEnd"/>
      <w:r w:rsidR="0096663F">
        <w:t xml:space="preserve"> de l’entre-deux-guerres mondiales) et elle ne s’est pas arrêtée avec ces </w:t>
      </w:r>
      <w:r w:rsidR="0096663F">
        <w:lastRenderedPageBreak/>
        <w:t xml:space="preserve">auteurs. L’exposé de la thèse de </w:t>
      </w:r>
      <w:proofErr w:type="spellStart"/>
      <w:r w:rsidR="0096663F">
        <w:t>Blumenberg</w:t>
      </w:r>
      <w:proofErr w:type="spellEnd"/>
      <w:r w:rsidR="0096663F">
        <w:t xml:space="preserve">, n’est fondé que sur la critique émise par C. </w:t>
      </w:r>
      <w:r w:rsidR="0096663F" w:rsidRPr="00AD5C37">
        <w:rPr>
          <w:color w:val="000000" w:themeColor="text1"/>
        </w:rPr>
        <w:t>Schmitt</w:t>
      </w:r>
      <w:r w:rsidR="0096663F" w:rsidRPr="00605B27">
        <w:t xml:space="preserve">. </w:t>
      </w:r>
      <w:r w:rsidR="0096663F">
        <w:t xml:space="preserve">H. </w:t>
      </w:r>
      <w:proofErr w:type="spellStart"/>
      <w:r w:rsidR="0096663F">
        <w:t>Djaït</w:t>
      </w:r>
      <w:proofErr w:type="spellEnd"/>
      <w:r w:rsidR="0096663F">
        <w:t xml:space="preserve"> fait de K.</w:t>
      </w:r>
      <w:r w:rsidR="0096663F" w:rsidRPr="00605B27">
        <w:t xml:space="preserve"> </w:t>
      </w:r>
      <w:proofErr w:type="spellStart"/>
      <w:r w:rsidR="0096663F" w:rsidRPr="00605B27">
        <w:t>Löwith</w:t>
      </w:r>
      <w:proofErr w:type="spellEnd"/>
      <w:r w:rsidR="0096663F">
        <w:t xml:space="preserve"> </w:t>
      </w:r>
      <w:r w:rsidR="0096663F" w:rsidRPr="00605B27">
        <w:t xml:space="preserve">un </w:t>
      </w:r>
      <w:r w:rsidR="0096663F">
        <w:t>« </w:t>
      </w:r>
      <w:r w:rsidR="0096663F" w:rsidRPr="00605B27">
        <w:t xml:space="preserve">post-moderne </w:t>
      </w:r>
      <w:r w:rsidR="0096663F" w:rsidRPr="00605B27">
        <w:rPr>
          <w:i/>
        </w:rPr>
        <w:t>comme nous tous maintenant</w:t>
      </w:r>
      <w:r w:rsidR="0096663F" w:rsidRPr="00605B27">
        <w:t xml:space="preserve">, </w:t>
      </w:r>
      <w:r w:rsidR="0096663F" w:rsidRPr="00261E4B">
        <w:t>voire un tenant du même, répudiant le neuf </w:t>
      </w:r>
      <w:r w:rsidR="0096663F" w:rsidRPr="00605B27">
        <w:t xml:space="preserve">». </w:t>
      </w:r>
      <w:proofErr w:type="spellStart"/>
      <w:r w:rsidR="0096663F" w:rsidRPr="00673FCB">
        <w:rPr>
          <w:color w:val="000000" w:themeColor="text1"/>
        </w:rPr>
        <w:t>Dja</w:t>
      </w:r>
      <w:r w:rsidR="0096663F">
        <w:rPr>
          <w:color w:val="000000" w:themeColor="text1"/>
        </w:rPr>
        <w:t>ït</w:t>
      </w:r>
      <w:proofErr w:type="spellEnd"/>
      <w:r w:rsidR="0096663F">
        <w:rPr>
          <w:color w:val="000000" w:themeColor="text1"/>
        </w:rPr>
        <w:t xml:space="preserve"> « post-moderne, </w:t>
      </w:r>
      <w:r w:rsidR="0096663F" w:rsidRPr="00261E4B">
        <w:t>te</w:t>
      </w:r>
      <w:r w:rsidR="0096663F">
        <w:t>nant du même, répudiant le neuf »</w:t>
      </w:r>
      <w:r>
        <w:t> </w:t>
      </w:r>
      <w:r w:rsidR="0096663F">
        <w:rPr>
          <w:color w:val="000000" w:themeColor="text1"/>
        </w:rPr>
        <w:t>? « Post-moderne » (avec un tiret) est employé au sens chronologique d</w:t>
      </w:r>
      <w:proofErr w:type="gramStart"/>
      <w:r w:rsidR="0096663F">
        <w:rPr>
          <w:color w:val="000000" w:themeColor="text1"/>
        </w:rPr>
        <w:t>’«</w:t>
      </w:r>
      <w:proofErr w:type="gramEnd"/>
      <w:r w:rsidR="0096663F">
        <w:rPr>
          <w:color w:val="000000" w:themeColor="text1"/>
        </w:rPr>
        <w:t> après la modernité », pas au sens des théoriciens des « post » (</w:t>
      </w:r>
      <w:r w:rsidR="0096663F" w:rsidRPr="00EA34DA">
        <w:rPr>
          <w:i/>
        </w:rPr>
        <w:t>postmodernisme</w:t>
      </w:r>
      <w:r w:rsidR="0096663F" w:rsidRPr="00EA34DA">
        <w:t xml:space="preserve"> comme J.-F. </w:t>
      </w:r>
      <w:proofErr w:type="spellStart"/>
      <w:r w:rsidR="0096663F" w:rsidRPr="00EA34DA">
        <w:t>Lyotard</w:t>
      </w:r>
      <w:proofErr w:type="spellEnd"/>
      <w:r w:rsidR="0096663F" w:rsidRPr="00EA34DA">
        <w:t xml:space="preserve">, </w:t>
      </w:r>
      <w:proofErr w:type="spellStart"/>
      <w:r w:rsidR="0096663F" w:rsidRPr="00EA34DA">
        <w:rPr>
          <w:i/>
        </w:rPr>
        <w:t>postcolonialstudies</w:t>
      </w:r>
      <w:proofErr w:type="spellEnd"/>
      <w:r w:rsidR="0096663F">
        <w:rPr>
          <w:color w:val="000000" w:themeColor="text1"/>
        </w:rPr>
        <w:t xml:space="preserve"> comme</w:t>
      </w:r>
      <w:r w:rsidR="0096663F">
        <w:rPr>
          <w:rStyle w:val="hgkelc"/>
          <w:rFonts w:ascii="Garamond" w:hAnsi="Garamond"/>
          <w:bCs/>
        </w:rPr>
        <w:t xml:space="preserve"> </w:t>
      </w:r>
      <w:r w:rsidR="0096663F" w:rsidRPr="00A511CF">
        <w:t>E. W. Saïd</w:t>
      </w:r>
      <w:r w:rsidR="0096663F">
        <w:t xml:space="preserve"> ou N. </w:t>
      </w:r>
      <w:proofErr w:type="spellStart"/>
      <w:r w:rsidR="0096663F">
        <w:t>Bancel</w:t>
      </w:r>
      <w:proofErr w:type="spellEnd"/>
      <w:r w:rsidR="0096663F">
        <w:t xml:space="preserve"> et </w:t>
      </w:r>
      <w:r w:rsidR="0096663F" w:rsidRPr="00D0651D">
        <w:rPr>
          <w:i/>
        </w:rPr>
        <w:t>al.,</w:t>
      </w:r>
      <w:r w:rsidR="0096663F">
        <w:t xml:space="preserve"> </w:t>
      </w:r>
      <w:r>
        <w:t>etc.</w:t>
      </w:r>
      <w:r w:rsidR="0096663F">
        <w:t xml:space="preserve"> ), dans lequel le post (sans tiret) n’est pas temporellement « fin de... », mais, en particulier chez </w:t>
      </w:r>
      <w:proofErr w:type="spellStart"/>
      <w:r w:rsidR="0096663F">
        <w:t>Lyotard</w:t>
      </w:r>
      <w:proofErr w:type="spellEnd"/>
      <w:r w:rsidR="0096663F">
        <w:t xml:space="preserve">, critique des dévoiements du projet moderne dans le sens d’un surpassement, d’un </w:t>
      </w:r>
      <w:r w:rsidR="0096663F" w:rsidRPr="00CE733F">
        <w:rPr>
          <w:i/>
        </w:rPr>
        <w:t xml:space="preserve">plus </w:t>
      </w:r>
      <w:r w:rsidR="0096663F">
        <w:rPr>
          <w:i/>
        </w:rPr>
        <w:t>et</w:t>
      </w:r>
      <w:r w:rsidR="0096663F" w:rsidRPr="00CE733F">
        <w:rPr>
          <w:i/>
        </w:rPr>
        <w:t xml:space="preserve"> autrement</w:t>
      </w:r>
      <w:r w:rsidR="0096663F" w:rsidRPr="00AD6AB2">
        <w:rPr>
          <w:rStyle w:val="hgkelc"/>
          <w:rFonts w:ascii="Garamond" w:hAnsi="Garamond"/>
          <w:bCs/>
        </w:rPr>
        <w:t>.</w:t>
      </w:r>
      <w:r w:rsidR="0096663F">
        <w:rPr>
          <w:rStyle w:val="hgkelc"/>
          <w:b/>
          <w:bCs/>
        </w:rPr>
        <w:t xml:space="preserve"> </w:t>
      </w:r>
      <w:r w:rsidR="0096663F">
        <w:t xml:space="preserve">Mais Schmitt et </w:t>
      </w:r>
      <w:proofErr w:type="spellStart"/>
      <w:r w:rsidR="0096663F">
        <w:t>Löwith</w:t>
      </w:r>
      <w:proofErr w:type="spellEnd"/>
      <w:r w:rsidR="0096663F">
        <w:t xml:space="preserve"> ne devraient-ils pas plutôt être classés comme des </w:t>
      </w:r>
      <w:r w:rsidR="0096663F">
        <w:rPr>
          <w:i/>
        </w:rPr>
        <w:t xml:space="preserve">antimodernes </w:t>
      </w:r>
      <w:r w:rsidR="0096663F" w:rsidRPr="009B01BF">
        <w:t>au sens d’</w:t>
      </w:r>
      <w:r w:rsidR="0096663F">
        <w:t>A. Compagnon (2005)</w:t>
      </w:r>
      <w:r w:rsidR="0096663F">
        <w:rPr>
          <w:i/>
        </w:rPr>
        <w:t xml:space="preserve">, </w:t>
      </w:r>
      <w:r w:rsidR="0096663F" w:rsidRPr="009B6D67">
        <w:t>à savoir des</w:t>
      </w:r>
      <w:r w:rsidR="0096663F">
        <w:rPr>
          <w:i/>
        </w:rPr>
        <w:t xml:space="preserve"> </w:t>
      </w:r>
      <w:r w:rsidR="0096663F">
        <w:t xml:space="preserve">« modernes à contrecœur, malgré eux, à leur corps défendant, ceux qui avancent en regardant dans le rétroviseur » ? Et enfin peut-on accepter sans question le </w:t>
      </w:r>
      <w:r w:rsidR="0096663F" w:rsidRPr="00EA34DA">
        <w:t xml:space="preserve">« constat » et la « vérité » sur lesquels se clôt l’ouvrage : la sortie de la religion du monde occidental ? Qu’entendre par « sortie de la religion » ? « Dieu expulsé de l’Occident », selon ce que H. </w:t>
      </w:r>
      <w:proofErr w:type="spellStart"/>
      <w:r w:rsidR="0096663F" w:rsidRPr="00EA34DA">
        <w:t>Djaït</w:t>
      </w:r>
      <w:proofErr w:type="spellEnd"/>
      <w:r w:rsidR="0096663F" w:rsidRPr="00EA34DA">
        <w:t xml:space="preserve"> écrivait déjà dans la conclusion L’Europe et l’Islam ? </w:t>
      </w:r>
      <w:r w:rsidR="0096663F">
        <w:t xml:space="preserve">En Europe de l’Ouest au moins, </w:t>
      </w:r>
      <w:proofErr w:type="spellStart"/>
      <w:r w:rsidR="0096663F">
        <w:t>contemporainement</w:t>
      </w:r>
      <w:proofErr w:type="spellEnd"/>
      <w:r w:rsidR="0096663F">
        <w:t xml:space="preserve"> la sécularisation culturelle est indéniable, mais pour une sociologue du « croire » comme D. Hervieu-Léger (2003) il s’agit là de la </w:t>
      </w:r>
      <w:r w:rsidR="0096663F" w:rsidRPr="00EA34DA">
        <w:t>fin d’un monde</w:t>
      </w:r>
      <w:r w:rsidR="0096663F">
        <w:t>, d’une « </w:t>
      </w:r>
      <w:proofErr w:type="spellStart"/>
      <w:r w:rsidR="0096663F">
        <w:t>exculturation</w:t>
      </w:r>
      <w:proofErr w:type="spellEnd"/>
      <w:r w:rsidR="0096663F">
        <w:t> », soit une disparition de ce monde-là des « références communes » en l’occurrence du catholicisme, mais non pas de la fin de « la » religion (privatisée) et encore moins la fin du « croire » en tous genres, lequel au contraire et pas seulement en Occident prospère plus que jamais, voire « enchante » toujours, y compris politiquement au plus haut niveau aujourd’hui (</w:t>
      </w:r>
      <w:proofErr w:type="spellStart"/>
      <w:r w:rsidR="0096663F">
        <w:t>Trump</w:t>
      </w:r>
      <w:proofErr w:type="spellEnd"/>
      <w:r w:rsidR="0096663F">
        <w:t xml:space="preserve">, </w:t>
      </w:r>
      <w:proofErr w:type="spellStart"/>
      <w:r w:rsidR="0096663F">
        <w:t>Bolsonaro</w:t>
      </w:r>
      <w:proofErr w:type="spellEnd"/>
      <w:r w:rsidR="0096663F">
        <w:t xml:space="preserve">, Poutine, ...). Côté sociologie allemande, </w:t>
      </w:r>
      <w:r w:rsidR="0096663F" w:rsidRPr="00A511CF">
        <w:t>H. Joas</w:t>
      </w:r>
      <w:r w:rsidR="0096663F">
        <w:rPr>
          <w:sz w:val="20"/>
          <w:szCs w:val="20"/>
        </w:rPr>
        <w:t xml:space="preserve"> </w:t>
      </w:r>
      <w:r w:rsidR="0096663F">
        <w:t xml:space="preserve">a récemment (2019) proposé </w:t>
      </w:r>
      <w:r w:rsidR="0096663F" w:rsidRPr="00446C17">
        <w:t>« </w:t>
      </w:r>
      <w:r w:rsidR="0096663F" w:rsidRPr="00446C17">
        <w:rPr>
          <w:bCs/>
          <w:iCs/>
        </w:rPr>
        <w:t>une alternative au récit du désenchantement</w:t>
      </w:r>
      <w:r w:rsidR="0096663F" w:rsidRPr="00446C17">
        <w:t> ».</w:t>
      </w:r>
      <w:r w:rsidR="0096663F">
        <w:t xml:space="preserve"> </w:t>
      </w:r>
    </w:p>
    <w:p w:rsidR="0096663F" w:rsidRPr="0017350A" w:rsidRDefault="0096663F" w:rsidP="00EA34DA">
      <w:pPr>
        <w:pStyle w:val="VDIIntertitre"/>
      </w:pPr>
      <w:r w:rsidRPr="0017350A">
        <w:t>Une œuvre qu’on lira et méditera encore longtemps</w:t>
      </w:r>
    </w:p>
    <w:p w:rsidR="0096663F" w:rsidRDefault="0096663F" w:rsidP="00EA34DA">
      <w:pPr>
        <w:pStyle w:val="Corps"/>
      </w:pPr>
      <w:r>
        <w:rPr>
          <w:rStyle w:val="Accentuation"/>
          <w:rFonts w:ascii="Garamond" w:hAnsi="Garamond"/>
          <w:i w:val="0"/>
        </w:rPr>
        <w:t>À</w:t>
      </w:r>
      <w:r>
        <w:rPr>
          <w:rStyle w:val="Accentuation"/>
          <w:rFonts w:ascii="Garamond" w:hAnsi="Garamond"/>
        </w:rPr>
        <w:t xml:space="preserve"> </w:t>
      </w:r>
      <w:r w:rsidRPr="00EA34DA">
        <w:t xml:space="preserve">la différence de ses autres livres, celui-ci ne comporte pas de </w:t>
      </w:r>
      <w:r w:rsidR="00580230">
        <w:t>c</w:t>
      </w:r>
      <w:r w:rsidRPr="00EA34DA">
        <w:t>onclusion</w:t>
      </w:r>
      <w:r>
        <w:rPr>
          <w:rStyle w:val="Accentuation"/>
          <w:rFonts w:ascii="Garamond" w:hAnsi="Garamond"/>
        </w:rPr>
        <w:t xml:space="preserve">. </w:t>
      </w:r>
      <w:r w:rsidRPr="005537B7">
        <w:rPr>
          <w:rFonts w:eastAsia="Times New Roman" w:cs="Times New Roman"/>
        </w:rPr>
        <w:t>« </w:t>
      </w:r>
      <w:r w:rsidRPr="005537B7">
        <w:t>Conclure »</w:t>
      </w:r>
      <w:r w:rsidR="00EA34DA">
        <w:t>,</w:t>
      </w:r>
      <w:r w:rsidRPr="005537B7">
        <w:t xml:space="preserve"> </w:t>
      </w:r>
      <w:proofErr w:type="spellStart"/>
      <w:r w:rsidRPr="005537B7">
        <w:t>e</w:t>
      </w:r>
      <w:r w:rsidR="00EA34DA">
        <w:t>û</w:t>
      </w:r>
      <w:r w:rsidRPr="005537B7">
        <w:t>t</w:t>
      </w:r>
      <w:r>
        <w:t>-ce</w:t>
      </w:r>
      <w:proofErr w:type="spellEnd"/>
      <w:r w:rsidRPr="005537B7">
        <w:t xml:space="preserve"> été énoncer une solution </w:t>
      </w:r>
      <w:proofErr w:type="spellStart"/>
      <w:r w:rsidRPr="005537B7">
        <w:t>djaïtienne</w:t>
      </w:r>
      <w:proofErr w:type="spellEnd"/>
      <w:r w:rsidRPr="005537B7">
        <w:t xml:space="preserve"> aux </w:t>
      </w:r>
      <w:r>
        <w:t>critiques de l’</w:t>
      </w:r>
      <w:r w:rsidRPr="000163AE">
        <w:rPr>
          <w:i/>
        </w:rPr>
        <w:t>orientalisme</w:t>
      </w:r>
      <w:r>
        <w:t xml:space="preserve"> en particulier et des </w:t>
      </w:r>
      <w:r w:rsidRPr="00AB1480">
        <w:rPr>
          <w:i/>
        </w:rPr>
        <w:t xml:space="preserve">area </w:t>
      </w:r>
      <w:proofErr w:type="spellStart"/>
      <w:r w:rsidRPr="00AB1480">
        <w:rPr>
          <w:i/>
        </w:rPr>
        <w:t>studies</w:t>
      </w:r>
      <w:proofErr w:type="spellEnd"/>
      <w:r>
        <w:rPr>
          <w:i/>
        </w:rPr>
        <w:t xml:space="preserve"> </w:t>
      </w:r>
      <w:r w:rsidRPr="000163AE">
        <w:t>en général</w:t>
      </w:r>
      <w:r>
        <w:rPr>
          <w:i/>
        </w:rPr>
        <w:t> </w:t>
      </w:r>
      <w:r w:rsidRPr="00A511CF">
        <w:t>(E. W. Saïd, 1980/1997</w:t>
      </w:r>
      <w:r>
        <w:t>) ?</w:t>
      </w:r>
      <w:r w:rsidRPr="005537B7">
        <w:t xml:space="preserve"> </w:t>
      </w:r>
      <w:r w:rsidRPr="00EA34DA">
        <w:t>Plutôt que la production de connaissances, l’intérêt singulier de cet ouvrage n’est-il pas d’avoir développé une « problématisation » de sa matière ? H.</w:t>
      </w:r>
      <w:r>
        <w:rPr>
          <w:rStyle w:val="Accentuation"/>
          <w:rFonts w:ascii="Garamond" w:hAnsi="Garamond"/>
        </w:rPr>
        <w:t xml:space="preserve"> </w:t>
      </w:r>
      <w:proofErr w:type="spellStart"/>
      <w:r>
        <w:t>Djaït</w:t>
      </w:r>
      <w:proofErr w:type="spellEnd"/>
      <w:r>
        <w:t xml:space="preserve"> s’en est en effet tenu à montrer à son lectorat la complexité des termes du débat scientifique au regard desquels il a élaboré son œuvre à partir des années 1970 et </w:t>
      </w:r>
      <w:r w:rsidRPr="00002E62">
        <w:t xml:space="preserve">laissait </w:t>
      </w:r>
      <w:r>
        <w:t xml:space="preserve">ainsi </w:t>
      </w:r>
      <w:r w:rsidRPr="00002E62">
        <w:t>volontairement</w:t>
      </w:r>
      <w:r>
        <w:t xml:space="preserve"> </w:t>
      </w:r>
      <w:r>
        <w:lastRenderedPageBreak/>
        <w:t xml:space="preserve">en partage les questions ouvertes pour les futures générations de chercheur(e)s. Reste d’un H. </w:t>
      </w:r>
      <w:proofErr w:type="spellStart"/>
      <w:r>
        <w:t>Djaït</w:t>
      </w:r>
      <w:proofErr w:type="spellEnd"/>
      <w:r>
        <w:t xml:space="preserve"> intellectuellement exigeant une œuvre exceptionnelle. </w:t>
      </w:r>
    </w:p>
    <w:p w:rsidR="0096663F" w:rsidRDefault="0096663F" w:rsidP="0096663F">
      <w:pPr>
        <w:pStyle w:val="Notedebasdepage"/>
        <w:jc w:val="both"/>
        <w:rPr>
          <w:rFonts w:ascii="Garamond" w:hAnsi="Garamond"/>
        </w:rPr>
      </w:pPr>
    </w:p>
    <w:p w:rsidR="0096663F" w:rsidRPr="009920C6" w:rsidRDefault="0096663F" w:rsidP="0096663F">
      <w:pPr>
        <w:pStyle w:val="VDIBibliographietitre"/>
      </w:pPr>
      <w:r>
        <w:t>Bibliographie</w:t>
      </w:r>
    </w:p>
    <w:p w:rsidR="0096663F" w:rsidRPr="006249B3" w:rsidRDefault="0096663F" w:rsidP="0096663F">
      <w:pPr>
        <w:pStyle w:val="VDIBibliographietitre"/>
      </w:pPr>
      <w:r w:rsidRPr="006249B3">
        <w:t xml:space="preserve">Œuvres citées de Hichem </w:t>
      </w:r>
      <w:proofErr w:type="spellStart"/>
      <w:r w:rsidRPr="006249B3">
        <w:t>Djaït</w:t>
      </w:r>
      <w:proofErr w:type="spellEnd"/>
      <w:r w:rsidRPr="006249B3">
        <w:t xml:space="preserve"> </w:t>
      </w:r>
    </w:p>
    <w:p w:rsidR="0096663F" w:rsidRPr="00E94DE0" w:rsidRDefault="0096663F" w:rsidP="0096663F">
      <w:pPr>
        <w:pStyle w:val="VDIBibliographie"/>
      </w:pPr>
      <w:r w:rsidRPr="00E94DE0">
        <w:t xml:space="preserve">1974, </w:t>
      </w:r>
      <w:r w:rsidRPr="00EA34DA">
        <w:rPr>
          <w:i/>
        </w:rPr>
        <w:t>La personnalité et le devenir arabo-islamiques</w:t>
      </w:r>
      <w:r w:rsidRPr="00E94DE0">
        <w:t xml:space="preserve">, </w:t>
      </w:r>
      <w:r>
        <w:t xml:space="preserve">Paris, </w:t>
      </w:r>
      <w:r w:rsidRPr="00E94DE0">
        <w:t>Seuil</w:t>
      </w:r>
      <w:r>
        <w:t xml:space="preserve">, 301 p. </w:t>
      </w:r>
    </w:p>
    <w:p w:rsidR="0096663F" w:rsidRPr="00E94DE0" w:rsidRDefault="0096663F" w:rsidP="0096663F">
      <w:pPr>
        <w:pStyle w:val="VDIBibliographie"/>
      </w:pPr>
      <w:r w:rsidRPr="00E94DE0">
        <w:t xml:space="preserve">1978, </w:t>
      </w:r>
      <w:r w:rsidRPr="00EA34DA">
        <w:rPr>
          <w:i/>
        </w:rPr>
        <w:t>L’Europe et l’Islam</w:t>
      </w:r>
      <w:r w:rsidRPr="00E94DE0">
        <w:t xml:space="preserve">, </w:t>
      </w:r>
      <w:r>
        <w:t xml:space="preserve">Paris, </w:t>
      </w:r>
      <w:r w:rsidRPr="00E94DE0">
        <w:t>Seuil</w:t>
      </w:r>
      <w:r>
        <w:t>, 190 p</w:t>
      </w:r>
      <w:r w:rsidRPr="00E94DE0">
        <w:t xml:space="preserve">. </w:t>
      </w:r>
    </w:p>
    <w:p w:rsidR="0096663F" w:rsidRPr="00E94DE0" w:rsidRDefault="0096663F" w:rsidP="0096663F">
      <w:pPr>
        <w:pStyle w:val="VDIBibliographie"/>
      </w:pPr>
      <w:r>
        <w:t>1989</w:t>
      </w:r>
      <w:r w:rsidRPr="00E94DE0">
        <w:t xml:space="preserve">, </w:t>
      </w:r>
      <w:r w:rsidRPr="00EA34DA">
        <w:rPr>
          <w:i/>
        </w:rPr>
        <w:t>Al-</w:t>
      </w:r>
      <w:proofErr w:type="spellStart"/>
      <w:r w:rsidRPr="00EA34DA">
        <w:rPr>
          <w:i/>
        </w:rPr>
        <w:t>K</w:t>
      </w:r>
      <w:r w:rsidRPr="00EA34DA">
        <w:rPr>
          <w:rFonts w:cstheme="minorHAnsi"/>
          <w:i/>
        </w:rPr>
        <w:t>ū</w:t>
      </w:r>
      <w:r w:rsidRPr="00EA34DA">
        <w:rPr>
          <w:i/>
        </w:rPr>
        <w:t>fa</w:t>
      </w:r>
      <w:proofErr w:type="spellEnd"/>
      <w:r w:rsidRPr="00EA34DA">
        <w:rPr>
          <w:i/>
        </w:rPr>
        <w:t>. Naissance de la ville islamique</w:t>
      </w:r>
      <w:r w:rsidRPr="00E94DE0">
        <w:t xml:space="preserve">, </w:t>
      </w:r>
      <w:r>
        <w:t>Paris, Maisonneuve &amp; Larose, 340 p.</w:t>
      </w:r>
    </w:p>
    <w:p w:rsidR="0096663F" w:rsidRPr="00E94DE0" w:rsidRDefault="0096663F" w:rsidP="0096663F">
      <w:pPr>
        <w:pStyle w:val="VDIBibliographie"/>
      </w:pPr>
      <w:r w:rsidRPr="00A511CF">
        <w:t>1989,</w:t>
      </w:r>
      <w:r w:rsidRPr="00E94DE0">
        <w:t xml:space="preserve"> </w:t>
      </w:r>
      <w:r w:rsidRPr="00EA34DA">
        <w:rPr>
          <w:i/>
        </w:rPr>
        <w:t>La Grande Discorde. Religion et politique dans l’Islam des origines</w:t>
      </w:r>
      <w:r w:rsidRPr="00E94DE0">
        <w:t>, Paris, Gallimard</w:t>
      </w:r>
      <w:r>
        <w:t>, 417 p.</w:t>
      </w:r>
    </w:p>
    <w:p w:rsidR="0096663F" w:rsidRDefault="0096663F" w:rsidP="0096663F">
      <w:pPr>
        <w:pStyle w:val="VDIBibliographie"/>
      </w:pPr>
      <w:r w:rsidRPr="00E94DE0">
        <w:t xml:space="preserve">2007-2008-2012, </w:t>
      </w:r>
      <w:r w:rsidRPr="00EA34DA">
        <w:rPr>
          <w:i/>
        </w:rPr>
        <w:t>La vie de Muhammad</w:t>
      </w:r>
      <w:r w:rsidRPr="00E94DE0">
        <w:t xml:space="preserve">, Paris, </w:t>
      </w:r>
      <w:r>
        <w:t>Fayard, 183, 502 et 313 p.</w:t>
      </w:r>
    </w:p>
    <w:p w:rsidR="0096663F" w:rsidRDefault="0096663F" w:rsidP="0096663F">
      <w:pPr>
        <w:pStyle w:val="VDIBibliographie"/>
        <w:rPr>
          <w:rStyle w:val="highlight"/>
          <w:rFonts w:ascii="Garamond" w:hAnsi="Garamond"/>
        </w:rPr>
      </w:pPr>
      <w:r w:rsidRPr="002D447F">
        <w:t xml:space="preserve">2022, </w:t>
      </w:r>
      <w:r w:rsidRPr="00EA34DA">
        <w:rPr>
          <w:i/>
        </w:rPr>
        <w:t>Penser l’histoire, penser la religion</w:t>
      </w:r>
      <w:r w:rsidRPr="002D447F">
        <w:t>, Tunis, Cérès, (1</w:t>
      </w:r>
      <w:r w:rsidRPr="002D447F">
        <w:rPr>
          <w:vertAlign w:val="superscript"/>
        </w:rPr>
        <w:t>e</w:t>
      </w:r>
      <w:r>
        <w:t xml:space="preserve"> éd. 2021)</w:t>
      </w:r>
      <w:r w:rsidRPr="002D447F">
        <w:t xml:space="preserve"> </w:t>
      </w:r>
      <w:r>
        <w:t>174 p</w:t>
      </w:r>
      <w:r w:rsidRPr="002D447F">
        <w:t>.</w:t>
      </w:r>
    </w:p>
    <w:p w:rsidR="0096663F" w:rsidRPr="006249B3" w:rsidRDefault="0096663F" w:rsidP="0096663F">
      <w:pPr>
        <w:pStyle w:val="VDIBibliographietitre"/>
      </w:pPr>
      <w:r w:rsidRPr="006249B3">
        <w:t>Autres références</w:t>
      </w:r>
    </w:p>
    <w:p w:rsidR="0096663F" w:rsidRPr="000F14BE" w:rsidRDefault="0096663F" w:rsidP="0096663F">
      <w:pPr>
        <w:pStyle w:val="VDIBibliographie"/>
      </w:pPr>
      <w:proofErr w:type="spellStart"/>
      <w:r w:rsidRPr="000F14BE">
        <w:t>Assmann</w:t>
      </w:r>
      <w:proofErr w:type="spellEnd"/>
      <w:r w:rsidRPr="000F14BE">
        <w:t xml:space="preserve"> Jan, 2010, </w:t>
      </w:r>
      <w:proofErr w:type="spellStart"/>
      <w:r w:rsidRPr="00EA34DA">
        <w:rPr>
          <w:i/>
        </w:rPr>
        <w:t>Maât</w:t>
      </w:r>
      <w:proofErr w:type="spellEnd"/>
      <w:r w:rsidRPr="00EA34DA">
        <w:rPr>
          <w:i/>
        </w:rPr>
        <w:t>, l’</w:t>
      </w:r>
      <w:proofErr w:type="spellStart"/>
      <w:r w:rsidRPr="00EA34DA">
        <w:rPr>
          <w:i/>
        </w:rPr>
        <w:t>Egypte</w:t>
      </w:r>
      <w:proofErr w:type="spellEnd"/>
      <w:r w:rsidRPr="00EA34DA">
        <w:rPr>
          <w:i/>
        </w:rPr>
        <w:t xml:space="preserve"> pharaonique et l’idée de justice sociale</w:t>
      </w:r>
      <w:r w:rsidRPr="000F14BE">
        <w:t xml:space="preserve">, Paris, </w:t>
      </w:r>
      <w:proofErr w:type="spellStart"/>
      <w:r w:rsidRPr="000F14BE">
        <w:t>MdV</w:t>
      </w:r>
      <w:proofErr w:type="spellEnd"/>
      <w:r w:rsidRPr="000F14BE">
        <w:t>, 167 p.</w:t>
      </w:r>
    </w:p>
    <w:p w:rsidR="0096663F" w:rsidRDefault="0096663F" w:rsidP="0096663F">
      <w:pPr>
        <w:pStyle w:val="VDIBibliographie"/>
      </w:pPr>
      <w:proofErr w:type="spellStart"/>
      <w:r>
        <w:t>Bancel</w:t>
      </w:r>
      <w:proofErr w:type="spellEnd"/>
      <w:r>
        <w:t xml:space="preserve"> Nicolas </w:t>
      </w:r>
      <w:r w:rsidRPr="00EA34DA">
        <w:rPr>
          <w:i/>
        </w:rPr>
        <w:t>et al</w:t>
      </w:r>
      <w:r w:rsidRPr="00D0651D">
        <w:t>.</w:t>
      </w:r>
      <w:r>
        <w:t xml:space="preserve"> (</w:t>
      </w:r>
      <w:proofErr w:type="spellStart"/>
      <w:proofErr w:type="gramStart"/>
      <w:r>
        <w:t>dir</w:t>
      </w:r>
      <w:proofErr w:type="spellEnd"/>
      <w:r>
        <w:t>.</w:t>
      </w:r>
      <w:proofErr w:type="gramEnd"/>
      <w:r>
        <w:t xml:space="preserve">), 2010, </w:t>
      </w:r>
      <w:r w:rsidRPr="00EA34DA">
        <w:rPr>
          <w:i/>
        </w:rPr>
        <w:t>Ruptures postcoloniales. Les nouveaux visages de la société française</w:t>
      </w:r>
      <w:r>
        <w:t>, Paris, La Découverte, 537 p.</w:t>
      </w:r>
    </w:p>
    <w:p w:rsidR="0096663F" w:rsidRPr="000F14BE" w:rsidRDefault="0096663F" w:rsidP="0096663F">
      <w:pPr>
        <w:pStyle w:val="VDIBibliographie"/>
      </w:pPr>
      <w:proofErr w:type="spellStart"/>
      <w:r w:rsidRPr="000F14BE">
        <w:t>Blumenberg</w:t>
      </w:r>
      <w:proofErr w:type="spellEnd"/>
      <w:r w:rsidRPr="000F14BE">
        <w:t xml:space="preserve"> Hans, 1999, </w:t>
      </w:r>
      <w:r w:rsidRPr="0096663F">
        <w:rPr>
          <w:i/>
        </w:rPr>
        <w:t>La légitimité des Temps modernes</w:t>
      </w:r>
      <w:r w:rsidRPr="000F14BE">
        <w:t xml:space="preserve">, </w:t>
      </w:r>
      <w:r w:rsidRPr="009920C6">
        <w:t>Paris, Gallimard,</w:t>
      </w:r>
      <w:r w:rsidRPr="000F14BE">
        <w:t xml:space="preserve"> (1</w:t>
      </w:r>
      <w:r w:rsidRPr="000F14BE">
        <w:rPr>
          <w:vertAlign w:val="superscript"/>
        </w:rPr>
        <w:t>e</w:t>
      </w:r>
      <w:r w:rsidRPr="000F14BE">
        <w:t xml:space="preserve"> éd. </w:t>
      </w:r>
      <w:proofErr w:type="gramStart"/>
      <w:r w:rsidRPr="000F14BE">
        <w:t>allemande</w:t>
      </w:r>
      <w:proofErr w:type="gramEnd"/>
      <w:r w:rsidRPr="000F14BE">
        <w:t xml:space="preserve"> 1966) 689 p.</w:t>
      </w:r>
    </w:p>
    <w:p w:rsidR="0096663F" w:rsidRPr="000F14BE" w:rsidRDefault="0096663F" w:rsidP="0096663F">
      <w:pPr>
        <w:pStyle w:val="VDIBibliographie"/>
      </w:pPr>
      <w:r w:rsidRPr="000F14BE">
        <w:t xml:space="preserve">Compagnon Antoine, 2005, </w:t>
      </w:r>
      <w:r w:rsidRPr="00EA34DA">
        <w:rPr>
          <w:i/>
        </w:rPr>
        <w:t>Les antimodernes. De Joseph de Maistre à Roland Barthes</w:t>
      </w:r>
      <w:r w:rsidRPr="000F14BE">
        <w:t>, Paris, Gallimard, 467 p.</w:t>
      </w:r>
    </w:p>
    <w:p w:rsidR="0096663F" w:rsidRDefault="0096663F" w:rsidP="0096663F">
      <w:pPr>
        <w:pStyle w:val="VDIBibliographie"/>
      </w:pPr>
      <w:r>
        <w:t xml:space="preserve">Ferguson </w:t>
      </w:r>
      <w:r w:rsidRPr="0096663F">
        <w:t>Adam</w:t>
      </w:r>
      <w:r>
        <w:t>, 2013</w:t>
      </w:r>
      <w:r w:rsidRPr="00EA34DA">
        <w:rPr>
          <w:i/>
        </w:rPr>
        <w:t>, Essai sur l’histoire de la société civile</w:t>
      </w:r>
      <w:r>
        <w:t>, Paris, ENS éditions, (édition originale anglaise 1767) 610 p.</w:t>
      </w:r>
    </w:p>
    <w:p w:rsidR="0096663F" w:rsidRPr="0009119D" w:rsidRDefault="0096663F" w:rsidP="0096663F">
      <w:pPr>
        <w:pStyle w:val="VDIBibliographie"/>
      </w:pPr>
      <w:proofErr w:type="spellStart"/>
      <w:r w:rsidRPr="0009119D">
        <w:t>Foessel</w:t>
      </w:r>
      <w:proofErr w:type="spellEnd"/>
      <w:r w:rsidRPr="0009119D">
        <w:t xml:space="preserve"> Michael, </w:t>
      </w:r>
      <w:proofErr w:type="spellStart"/>
      <w:r w:rsidRPr="0096663F">
        <w:t>Kervégan</w:t>
      </w:r>
      <w:proofErr w:type="spellEnd"/>
      <w:r w:rsidRPr="0009119D">
        <w:t xml:space="preserve"> Jean-François et </w:t>
      </w:r>
      <w:proofErr w:type="spellStart"/>
      <w:r w:rsidRPr="0009119D">
        <w:t>Revault</w:t>
      </w:r>
      <w:proofErr w:type="spellEnd"/>
      <w:r w:rsidRPr="0009119D">
        <w:t xml:space="preserve"> d’Allonnes Myriam</w:t>
      </w:r>
      <w:r w:rsidR="00EA34DA">
        <w:t xml:space="preserve"> </w:t>
      </w:r>
      <w:r w:rsidRPr="0009119D">
        <w:t>(</w:t>
      </w:r>
      <w:proofErr w:type="spellStart"/>
      <w:r w:rsidRPr="0009119D">
        <w:t>dir</w:t>
      </w:r>
      <w:proofErr w:type="spellEnd"/>
      <w:r w:rsidRPr="0009119D">
        <w:t xml:space="preserve">.), 2007, </w:t>
      </w:r>
      <w:r w:rsidRPr="00EA34DA">
        <w:rPr>
          <w:rFonts w:cs="PlantinStd-Italic"/>
          <w:i/>
          <w:iCs/>
        </w:rPr>
        <w:t xml:space="preserve">Modernité et sécularisation. Hans </w:t>
      </w:r>
      <w:proofErr w:type="spellStart"/>
      <w:r w:rsidRPr="00EA34DA">
        <w:rPr>
          <w:rFonts w:cs="PlantinStd-Italic"/>
          <w:i/>
          <w:iCs/>
        </w:rPr>
        <w:t>Blumenberg</w:t>
      </w:r>
      <w:proofErr w:type="spellEnd"/>
      <w:r w:rsidRPr="00EA34DA">
        <w:rPr>
          <w:rFonts w:cs="PlantinStd-Italic"/>
          <w:i/>
          <w:iCs/>
        </w:rPr>
        <w:t>, Karl</w:t>
      </w:r>
      <w:r w:rsidRPr="00EA34DA">
        <w:rPr>
          <w:i/>
        </w:rPr>
        <w:t xml:space="preserve"> </w:t>
      </w:r>
      <w:proofErr w:type="spellStart"/>
      <w:r w:rsidRPr="00EA34DA">
        <w:rPr>
          <w:rFonts w:cs="PlantinStd-Italic"/>
          <w:i/>
          <w:iCs/>
        </w:rPr>
        <w:t>Löwith</w:t>
      </w:r>
      <w:proofErr w:type="spellEnd"/>
      <w:r w:rsidRPr="00EA34DA">
        <w:rPr>
          <w:rFonts w:cs="PlantinStd-Italic"/>
          <w:i/>
          <w:iCs/>
        </w:rPr>
        <w:t>, Carl Schmitt, Leo Strauss</w:t>
      </w:r>
      <w:r w:rsidRPr="0009119D">
        <w:t xml:space="preserve">, Paris, CNRS Éditions, </w:t>
      </w:r>
      <w:r w:rsidRPr="0009119D">
        <w:rPr>
          <w:rStyle w:val="a-list-item"/>
          <w:rFonts w:ascii="Garamond" w:hAnsi="Garamond"/>
          <w:sz w:val="20"/>
          <w:szCs w:val="20"/>
        </w:rPr>
        <w:t>176 p.</w:t>
      </w:r>
    </w:p>
    <w:p w:rsidR="0096663F" w:rsidRPr="000F14BE" w:rsidRDefault="0096663F" w:rsidP="00EA34DA">
      <w:pPr>
        <w:pStyle w:val="VDIBibliographie"/>
      </w:pPr>
      <w:proofErr w:type="spellStart"/>
      <w:r w:rsidRPr="000F14BE">
        <w:t>Gauchet</w:t>
      </w:r>
      <w:proofErr w:type="spellEnd"/>
      <w:r w:rsidRPr="000F14BE">
        <w:t xml:space="preserve"> Marcel, 1985, </w:t>
      </w:r>
      <w:r w:rsidRPr="00EA34DA">
        <w:rPr>
          <w:i/>
        </w:rPr>
        <w:t>Le désenchantement du monde. Une histoire politique de la religion</w:t>
      </w:r>
      <w:r w:rsidRPr="000F14BE">
        <w:t>, Paris, Gallimard, 457 p.</w:t>
      </w:r>
    </w:p>
    <w:p w:rsidR="0096663F" w:rsidRPr="000F14BE" w:rsidRDefault="0096663F" w:rsidP="0096663F">
      <w:pPr>
        <w:pStyle w:val="VDIBibliographie"/>
      </w:pPr>
      <w:r w:rsidRPr="000F14BE">
        <w:t xml:space="preserve">Hervieu-Léger Danièle, 2003, </w:t>
      </w:r>
      <w:r w:rsidRPr="00EA34DA">
        <w:rPr>
          <w:i/>
        </w:rPr>
        <w:t>Catholicisme, la fin d’un monde</w:t>
      </w:r>
      <w:r w:rsidRPr="000F14BE">
        <w:t>, Paris, Bayard, 335 p.</w:t>
      </w:r>
    </w:p>
    <w:p w:rsidR="0096663F" w:rsidRPr="000F14BE" w:rsidRDefault="0096663F" w:rsidP="0096663F">
      <w:pPr>
        <w:pStyle w:val="VDIBibliographie"/>
      </w:pPr>
      <w:r w:rsidRPr="000F14BE">
        <w:lastRenderedPageBreak/>
        <w:t xml:space="preserve">Jaspers Karl, 1961, </w:t>
      </w:r>
      <w:r w:rsidRPr="00EA34DA">
        <w:rPr>
          <w:i/>
        </w:rPr>
        <w:t>Origine et sens de l'histoire</w:t>
      </w:r>
      <w:r w:rsidRPr="000F14BE">
        <w:t>, Paris, Plon, (1</w:t>
      </w:r>
      <w:r w:rsidRPr="000F14BE">
        <w:rPr>
          <w:vertAlign w:val="superscript"/>
        </w:rPr>
        <w:t>e</w:t>
      </w:r>
      <w:r w:rsidRPr="000F14BE">
        <w:t xml:space="preserve"> éd. </w:t>
      </w:r>
      <w:proofErr w:type="gramStart"/>
      <w:r w:rsidRPr="000F14BE">
        <w:t>allemande</w:t>
      </w:r>
      <w:proofErr w:type="gramEnd"/>
      <w:r w:rsidRPr="000F14BE">
        <w:t xml:space="preserve"> 1949)</w:t>
      </w:r>
      <w:r w:rsidR="00EA34DA">
        <w:t>,</w:t>
      </w:r>
      <w:r w:rsidRPr="000F14BE">
        <w:t xml:space="preserve"> 359 p.</w:t>
      </w:r>
    </w:p>
    <w:p w:rsidR="0096663F" w:rsidRPr="00EA34DA" w:rsidRDefault="0096663F" w:rsidP="00EA34DA">
      <w:pPr>
        <w:pStyle w:val="VDIBibliographie"/>
        <w:rPr>
          <w:rStyle w:val="a-list-item"/>
        </w:rPr>
      </w:pPr>
      <w:r w:rsidRPr="00EA34DA">
        <w:t xml:space="preserve">Joas Hans, 2020, </w:t>
      </w:r>
      <w:r w:rsidRPr="00EA34DA">
        <w:rPr>
          <w:rStyle w:val="a-size-extra-large"/>
          <w:i/>
        </w:rPr>
        <w:t>Les Pouvoirs du sacré. Une alternative au récit du désenchantement</w:t>
      </w:r>
      <w:r w:rsidRPr="00EA34DA">
        <w:rPr>
          <w:rStyle w:val="a-size-extra-large"/>
        </w:rPr>
        <w:t xml:space="preserve">, Paris, Seuil, (1e éd. </w:t>
      </w:r>
      <w:proofErr w:type="gramStart"/>
      <w:r w:rsidRPr="00EA34DA">
        <w:rPr>
          <w:rStyle w:val="a-size-extra-large"/>
        </w:rPr>
        <w:t>allemande</w:t>
      </w:r>
      <w:proofErr w:type="gramEnd"/>
      <w:r w:rsidRPr="00EA34DA">
        <w:rPr>
          <w:rStyle w:val="a-size-extra-large"/>
        </w:rPr>
        <w:t xml:space="preserve"> 2019) </w:t>
      </w:r>
      <w:r w:rsidRPr="00EA34DA">
        <w:rPr>
          <w:rStyle w:val="a-list-item"/>
        </w:rPr>
        <w:t>448 p.</w:t>
      </w:r>
    </w:p>
    <w:p w:rsidR="0096663F" w:rsidRPr="000F14BE" w:rsidRDefault="0096663F" w:rsidP="0096663F">
      <w:pPr>
        <w:pStyle w:val="VDIBibliographie"/>
      </w:pPr>
      <w:proofErr w:type="spellStart"/>
      <w:r w:rsidRPr="000F14BE">
        <w:t>Kellens</w:t>
      </w:r>
      <w:proofErr w:type="spellEnd"/>
      <w:r w:rsidRPr="000F14BE">
        <w:t xml:space="preserve"> Jean, 2006, </w:t>
      </w:r>
      <w:r w:rsidRPr="00EA34DA">
        <w:rPr>
          <w:i/>
        </w:rPr>
        <w:t>La quatrième naissance de Zarathushtra</w:t>
      </w:r>
      <w:r w:rsidRPr="000F14BE">
        <w:t>, Paris, Seuil, 186 p.</w:t>
      </w:r>
    </w:p>
    <w:p w:rsidR="0096663F" w:rsidRDefault="0096663F" w:rsidP="00EA34DA">
      <w:pPr>
        <w:pStyle w:val="VDIBibliographie"/>
        <w:rPr>
          <w:b/>
        </w:rPr>
      </w:pPr>
      <w:proofErr w:type="spellStart"/>
      <w:r w:rsidRPr="000F14BE">
        <w:t>Löwith</w:t>
      </w:r>
      <w:proofErr w:type="spellEnd"/>
      <w:r w:rsidRPr="000F14BE">
        <w:t xml:space="preserve"> Karl, </w:t>
      </w:r>
      <w:r w:rsidRPr="00EA34DA">
        <w:t>1969</w:t>
      </w:r>
      <w:r w:rsidRPr="00CB1ED2">
        <w:t xml:space="preserve">, </w:t>
      </w:r>
      <w:r w:rsidRPr="00EA34DA">
        <w:rPr>
          <w:i/>
          <w:iCs/>
        </w:rPr>
        <w:t>De Hegel à Nietzsche</w:t>
      </w:r>
      <w:r>
        <w:t>, Paris, Gallimard, (1</w:t>
      </w:r>
      <w:r w:rsidRPr="0036716C">
        <w:rPr>
          <w:vertAlign w:val="superscript"/>
        </w:rPr>
        <w:t>e</w:t>
      </w:r>
      <w:r>
        <w:t xml:space="preserve"> </w:t>
      </w:r>
      <w:r w:rsidRPr="00CB1ED2">
        <w:t xml:space="preserve">édition </w:t>
      </w:r>
      <w:r>
        <w:t>a</w:t>
      </w:r>
      <w:r w:rsidRPr="00CB1ED2">
        <w:t xml:space="preserve">llemande 1935) </w:t>
      </w:r>
      <w:r>
        <w:t>471 p.</w:t>
      </w:r>
    </w:p>
    <w:p w:rsidR="0096663F" w:rsidRPr="00CB1ED2" w:rsidRDefault="00EA34DA" w:rsidP="00EA34DA">
      <w:pPr>
        <w:pStyle w:val="VDIBibliographie"/>
        <w:rPr>
          <w:b/>
        </w:rPr>
      </w:pPr>
      <w:r w:rsidRPr="00EA34DA">
        <w:rPr>
          <w:i/>
        </w:rPr>
        <w:t>Id</w:t>
      </w:r>
      <w:r>
        <w:t xml:space="preserve">., </w:t>
      </w:r>
      <w:r w:rsidR="0096663F" w:rsidRPr="000F14BE">
        <w:t xml:space="preserve">2002, </w:t>
      </w:r>
      <w:r w:rsidR="0096663F" w:rsidRPr="00EA34DA">
        <w:rPr>
          <w:i/>
        </w:rPr>
        <w:t>Histoire</w:t>
      </w:r>
      <w:r w:rsidR="0096663F" w:rsidRPr="00EA34DA">
        <w:rPr>
          <w:i/>
        </w:rPr>
        <w:t xml:space="preserve"> et Salut. Les présupposés théologiques de la philosophie de l’histoire</w:t>
      </w:r>
      <w:r w:rsidR="0096663F" w:rsidRPr="000F14BE">
        <w:t xml:space="preserve"> (1</w:t>
      </w:r>
      <w:r w:rsidR="0096663F" w:rsidRPr="000F14BE">
        <w:rPr>
          <w:vertAlign w:val="superscript"/>
        </w:rPr>
        <w:t>e</w:t>
      </w:r>
      <w:r w:rsidR="0096663F" w:rsidRPr="000F14BE">
        <w:t xml:space="preserve"> éd. </w:t>
      </w:r>
      <w:proofErr w:type="gramStart"/>
      <w:r w:rsidR="0096663F" w:rsidRPr="000F14BE">
        <w:t>américaine</w:t>
      </w:r>
      <w:proofErr w:type="gramEnd"/>
      <w:r w:rsidR="0096663F" w:rsidRPr="000F14BE">
        <w:t xml:space="preserve"> 1949) 287 p.</w:t>
      </w:r>
    </w:p>
    <w:p w:rsidR="0096663F" w:rsidRPr="00EA34DA" w:rsidRDefault="0096663F" w:rsidP="00EA34DA">
      <w:pPr>
        <w:pStyle w:val="VDIBibliographie"/>
      </w:pPr>
      <w:r w:rsidRPr="00EA34DA">
        <w:rPr>
          <w:rStyle w:val="highlight"/>
        </w:rPr>
        <w:t xml:space="preserve">Lukács </w:t>
      </w:r>
      <w:r w:rsidRPr="00EA34DA">
        <w:t>Georg</w:t>
      </w:r>
      <w:r w:rsidRPr="00EA34DA">
        <w:rPr>
          <w:rStyle w:val="highlight"/>
        </w:rPr>
        <w:t>, 1971</w:t>
      </w:r>
      <w:r w:rsidRPr="00EA34DA">
        <w:rPr>
          <w:rStyle w:val="highlight"/>
          <w:i/>
        </w:rPr>
        <w:t xml:space="preserve">, </w:t>
      </w:r>
      <w:r w:rsidRPr="00EA34DA">
        <w:rPr>
          <w:i/>
        </w:rPr>
        <w:fldChar w:fldCharType="begin"/>
      </w:r>
      <w:r w:rsidRPr="00EA34DA">
        <w:rPr>
          <w:i/>
        </w:rPr>
        <w:instrText xml:space="preserve"> HYPERLINK "http://www.sudoc.abes.fr/cbs/DB=2.1/SET=6/TTL=26/CLK?IKT=1016&amp;TRM=La+theorie+du+roman" </w:instrText>
      </w:r>
      <w:r w:rsidRPr="00EA34DA">
        <w:rPr>
          <w:i/>
        </w:rPr>
        <w:fldChar w:fldCharType="separate"/>
      </w:r>
      <w:r w:rsidRPr="00EA34DA">
        <w:rPr>
          <w:rStyle w:val="Lienhypertexte"/>
          <w:i/>
          <w:u w:val="none"/>
        </w:rPr>
        <w:t>La théorie du roman</w:t>
      </w:r>
      <w:r w:rsidRPr="00EA34DA">
        <w:rPr>
          <w:rStyle w:val="Lienhypertexte"/>
          <w:i/>
          <w:u w:val="none"/>
        </w:rPr>
        <w:fldChar w:fldCharType="end"/>
      </w:r>
      <w:r w:rsidRPr="00EA34DA">
        <w:rPr>
          <w:rStyle w:val="Lienhypertexte"/>
          <w:u w:val="none"/>
        </w:rPr>
        <w:t xml:space="preserve">, </w:t>
      </w:r>
      <w:hyperlink r:id="rId9" w:history="1">
        <w:r w:rsidRPr="00EA34DA">
          <w:rPr>
            <w:rStyle w:val="Lienhypertexte"/>
            <w:u w:val="none"/>
          </w:rPr>
          <w:t>Paris</w:t>
        </w:r>
      </w:hyperlink>
      <w:r w:rsidRPr="00EA34DA">
        <w:t xml:space="preserve"> </w:t>
      </w:r>
      <w:hyperlink r:id="rId10" w:history="1">
        <w:r w:rsidRPr="00EA34DA">
          <w:rPr>
            <w:rStyle w:val="Lienhypertexte"/>
            <w:u w:val="none"/>
          </w:rPr>
          <w:t>Genève</w:t>
        </w:r>
      </w:hyperlink>
      <w:r w:rsidRPr="00EA34DA">
        <w:t xml:space="preserve">, </w:t>
      </w:r>
      <w:hyperlink r:id="rId11" w:history="1">
        <w:r w:rsidRPr="00EA34DA">
          <w:rPr>
            <w:rStyle w:val="Lienhypertexte"/>
            <w:u w:val="none"/>
          </w:rPr>
          <w:t>Gonthier</w:t>
        </w:r>
      </w:hyperlink>
      <w:r w:rsidRPr="00EA34DA">
        <w:t xml:space="preserve">, (1e éd. </w:t>
      </w:r>
      <w:proofErr w:type="gramStart"/>
      <w:r w:rsidRPr="00EA34DA">
        <w:t>allemande</w:t>
      </w:r>
      <w:proofErr w:type="gramEnd"/>
      <w:r w:rsidRPr="00EA34DA">
        <w:t xml:space="preserve"> 1971) 195 p. </w:t>
      </w:r>
    </w:p>
    <w:p w:rsidR="0096663F" w:rsidRPr="00EA34DA" w:rsidRDefault="0096663F" w:rsidP="00EA34DA">
      <w:pPr>
        <w:pStyle w:val="VDIBibliographie"/>
        <w:rPr>
          <w:rStyle w:val="hgkelc"/>
        </w:rPr>
      </w:pPr>
      <w:proofErr w:type="spellStart"/>
      <w:r w:rsidRPr="00EA34DA">
        <w:rPr>
          <w:rStyle w:val="hgkelc"/>
        </w:rPr>
        <w:t>Lyotard</w:t>
      </w:r>
      <w:proofErr w:type="spellEnd"/>
      <w:r w:rsidRPr="00EA34DA">
        <w:rPr>
          <w:rStyle w:val="hgkelc"/>
        </w:rPr>
        <w:t xml:space="preserve"> Jean-François, </w:t>
      </w:r>
      <w:r w:rsidRPr="00EA34DA">
        <w:t>1979,</w:t>
      </w:r>
      <w:r w:rsidRPr="00EA34DA">
        <w:rPr>
          <w:rStyle w:val="hgkelc"/>
        </w:rPr>
        <w:t xml:space="preserve"> </w:t>
      </w:r>
      <w:hyperlink r:id="rId12" w:tooltip="La Condition postmoderne" w:history="1">
        <w:r w:rsidRPr="00EA34DA">
          <w:rPr>
            <w:rStyle w:val="Lienhypertexte"/>
            <w:i/>
            <w:u w:val="none"/>
          </w:rPr>
          <w:t>L</w:t>
        </w:r>
        <w:r w:rsidRPr="00EA34DA">
          <w:rPr>
            <w:rStyle w:val="Lienhypertexte"/>
            <w:i/>
            <w:u w:val="none"/>
          </w:rPr>
          <w:t>a</w:t>
        </w:r>
        <w:r w:rsidRPr="00EA34DA">
          <w:rPr>
            <w:rStyle w:val="Lienhypertexte"/>
            <w:i/>
            <w:u w:val="none"/>
          </w:rPr>
          <w:t xml:space="preserve"> Condition postmoderne</w:t>
        </w:r>
      </w:hyperlink>
      <w:r w:rsidRPr="00EA34DA">
        <w:rPr>
          <w:i/>
        </w:rPr>
        <w:t> : rapport sur le savoir</w:t>
      </w:r>
      <w:r w:rsidRPr="00EA34DA">
        <w:t>, Paris, Minuit, 109 p.</w:t>
      </w:r>
    </w:p>
    <w:p w:rsidR="0096663F" w:rsidRPr="00EA34DA" w:rsidRDefault="0096663F" w:rsidP="00EA34DA">
      <w:pPr>
        <w:pStyle w:val="VDIBibliographie"/>
      </w:pPr>
      <w:r w:rsidRPr="00EA34DA">
        <w:t xml:space="preserve">Monod Jean-Claude, 2002, </w:t>
      </w:r>
      <w:r w:rsidRPr="00EA34DA">
        <w:rPr>
          <w:i/>
        </w:rPr>
        <w:t xml:space="preserve">La Querelle de la sécularisation, de Hegel à </w:t>
      </w:r>
      <w:proofErr w:type="spellStart"/>
      <w:r w:rsidRPr="00EA34DA">
        <w:rPr>
          <w:i/>
        </w:rPr>
        <w:t>Blumenberg</w:t>
      </w:r>
      <w:proofErr w:type="spellEnd"/>
      <w:r w:rsidRPr="00EA34DA">
        <w:t xml:space="preserve">, Paris, </w:t>
      </w:r>
      <w:proofErr w:type="spellStart"/>
      <w:r w:rsidRPr="00EA34DA">
        <w:t>Vrin</w:t>
      </w:r>
      <w:proofErr w:type="spellEnd"/>
      <w:r w:rsidRPr="00EA34DA">
        <w:t>, 317 p.</w:t>
      </w:r>
    </w:p>
    <w:p w:rsidR="0096663F" w:rsidRPr="000F14BE" w:rsidRDefault="0096663F" w:rsidP="0096663F">
      <w:pPr>
        <w:pStyle w:val="VDIBibliographie"/>
      </w:pPr>
      <w:r w:rsidRPr="000F14BE">
        <w:t xml:space="preserve">Saïd Edward W., 1997, </w:t>
      </w:r>
      <w:r w:rsidRPr="00EA34DA">
        <w:rPr>
          <w:i/>
        </w:rPr>
        <w:t>L’orientalisme. L’Orient créé par l’Occident</w:t>
      </w:r>
      <w:r w:rsidRPr="000F14BE">
        <w:t>, Paris, Seuil, (1</w:t>
      </w:r>
      <w:r w:rsidRPr="000F14BE">
        <w:rPr>
          <w:vertAlign w:val="superscript"/>
        </w:rPr>
        <w:t>e</w:t>
      </w:r>
      <w:r w:rsidRPr="000F14BE">
        <w:t xml:space="preserve"> éd. </w:t>
      </w:r>
      <w:proofErr w:type="gramStart"/>
      <w:r w:rsidRPr="000F14BE">
        <w:t>américaine</w:t>
      </w:r>
      <w:proofErr w:type="gramEnd"/>
      <w:r w:rsidRPr="000F14BE">
        <w:t xml:space="preserve"> 1978, 1</w:t>
      </w:r>
      <w:r w:rsidRPr="000F14BE">
        <w:rPr>
          <w:vertAlign w:val="superscript"/>
        </w:rPr>
        <w:t>e</w:t>
      </w:r>
      <w:r w:rsidRPr="000F14BE">
        <w:t xml:space="preserve"> éd. </w:t>
      </w:r>
      <w:proofErr w:type="gramStart"/>
      <w:r w:rsidRPr="000F14BE">
        <w:t>française</w:t>
      </w:r>
      <w:proofErr w:type="gramEnd"/>
      <w:r w:rsidRPr="000F14BE">
        <w:t xml:space="preserve"> 1980) 427 p.</w:t>
      </w:r>
    </w:p>
    <w:p w:rsidR="0096663F" w:rsidRPr="000F14BE" w:rsidRDefault="0096663F" w:rsidP="0096663F">
      <w:pPr>
        <w:pStyle w:val="VDIBibliographie"/>
      </w:pPr>
      <w:r w:rsidRPr="000F14BE">
        <w:t xml:space="preserve">Schmitt Carl, 1988, </w:t>
      </w:r>
      <w:r w:rsidRPr="00EA34DA">
        <w:rPr>
          <w:i/>
        </w:rPr>
        <w:t>Théologie politique I et II</w:t>
      </w:r>
      <w:r w:rsidRPr="000F14BE">
        <w:t>, Paris, Gallimard, (1</w:t>
      </w:r>
      <w:r w:rsidRPr="000F14BE">
        <w:rPr>
          <w:vertAlign w:val="superscript"/>
        </w:rPr>
        <w:t>e</w:t>
      </w:r>
      <w:r w:rsidRPr="000F14BE">
        <w:t xml:space="preserve"> éd. </w:t>
      </w:r>
      <w:proofErr w:type="gramStart"/>
      <w:r w:rsidRPr="000F14BE">
        <w:t>allemande</w:t>
      </w:r>
      <w:proofErr w:type="gramEnd"/>
      <w:r w:rsidRPr="000F14BE">
        <w:t xml:space="preserve"> : I 1922 ; II 1970) 184 p. </w:t>
      </w:r>
    </w:p>
    <w:p w:rsidR="0096663F" w:rsidRDefault="0096663F" w:rsidP="0096663F">
      <w:pPr>
        <w:pStyle w:val="VDIBibliographie"/>
      </w:pPr>
      <w:proofErr w:type="spellStart"/>
      <w:r w:rsidRPr="000F14BE">
        <w:t>Voegelin</w:t>
      </w:r>
      <w:proofErr w:type="spellEnd"/>
      <w:r w:rsidRPr="000F14BE">
        <w:t xml:space="preserve"> </w:t>
      </w:r>
      <w:proofErr w:type="spellStart"/>
      <w:r w:rsidRPr="000F14BE">
        <w:t>Eric</w:t>
      </w:r>
      <w:proofErr w:type="spellEnd"/>
      <w:r w:rsidRPr="000F14BE">
        <w:t xml:space="preserve">, 1994, </w:t>
      </w:r>
      <w:r w:rsidRPr="00EA34DA">
        <w:rPr>
          <w:i/>
        </w:rPr>
        <w:t>Les religions politiques</w:t>
      </w:r>
      <w:r w:rsidRPr="000F14BE">
        <w:t>, Paris, Cerf, (1</w:t>
      </w:r>
      <w:r w:rsidRPr="000F14BE">
        <w:rPr>
          <w:vertAlign w:val="superscript"/>
        </w:rPr>
        <w:t>e</w:t>
      </w:r>
      <w:r w:rsidRPr="000F14BE">
        <w:t xml:space="preserve"> éd. </w:t>
      </w:r>
      <w:proofErr w:type="gramStart"/>
      <w:r w:rsidRPr="000F14BE">
        <w:t>allemande</w:t>
      </w:r>
      <w:proofErr w:type="gramEnd"/>
      <w:r w:rsidRPr="000F14BE">
        <w:t xml:space="preserve"> 1938) 123 p. </w:t>
      </w:r>
    </w:p>
    <w:p w:rsidR="0096663F" w:rsidRPr="000F14BE" w:rsidRDefault="00EA34DA" w:rsidP="0096663F">
      <w:pPr>
        <w:pStyle w:val="VDIBibliographie"/>
      </w:pPr>
      <w:r w:rsidRPr="00EA34DA">
        <w:rPr>
          <w:i/>
        </w:rPr>
        <w:t>Id.</w:t>
      </w:r>
      <w:r>
        <w:t xml:space="preserve">, </w:t>
      </w:r>
      <w:r w:rsidR="0096663F">
        <w:t xml:space="preserve">2012, </w:t>
      </w:r>
      <w:r w:rsidR="0096663F" w:rsidRPr="00EA34DA">
        <w:rPr>
          <w:i/>
        </w:rPr>
        <w:t>Ordre et Histoire. I Israël et la Révélation</w:t>
      </w:r>
      <w:r w:rsidR="0096663F">
        <w:t>, Paris, Cerf, (1</w:t>
      </w:r>
      <w:r w:rsidR="0096663F" w:rsidRPr="009920C6">
        <w:rPr>
          <w:vertAlign w:val="superscript"/>
        </w:rPr>
        <w:t>e</w:t>
      </w:r>
      <w:r w:rsidR="0096663F">
        <w:t xml:space="preserve"> éd. </w:t>
      </w:r>
      <w:proofErr w:type="gramStart"/>
      <w:r w:rsidR="0096663F">
        <w:t>américaine</w:t>
      </w:r>
      <w:proofErr w:type="gramEnd"/>
      <w:r w:rsidR="0096663F">
        <w:t xml:space="preserve"> 1956) 896 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itle presentation"/>
      </w:tblPr>
      <w:tblGrid>
        <w:gridCol w:w="96"/>
      </w:tblGrid>
      <w:tr w:rsidR="0096663F" w:rsidTr="00C97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63F" w:rsidRDefault="0096663F" w:rsidP="00C97B86"/>
        </w:tc>
      </w:tr>
    </w:tbl>
    <w:p w:rsidR="007E6D92" w:rsidRDefault="007E6D92" w:rsidP="00580230">
      <w:pPr>
        <w:pStyle w:val="Corps"/>
        <w:ind w:firstLine="0"/>
      </w:pPr>
    </w:p>
    <w:p w:rsidR="0063372A" w:rsidRPr="007D0A96" w:rsidRDefault="0063372A" w:rsidP="0063372A">
      <w:pPr>
        <w:pStyle w:val="VDIdate"/>
      </w:pPr>
      <w:r w:rsidRPr="007D0A96">
        <w:t>Publié dans lavi</w:t>
      </w:r>
      <w:r w:rsidR="006E7A74" w:rsidRPr="007D0A96">
        <w:t>e</w:t>
      </w:r>
      <w:r w:rsidRPr="007D0A96">
        <w:t>desidees.fr, le</w:t>
      </w:r>
      <w:r w:rsidR="008F3232" w:rsidRPr="007D0A96">
        <w:t xml:space="preserve"> </w:t>
      </w:r>
      <w:r w:rsidR="00580230">
        <w:t xml:space="preserve">12 janvier </w:t>
      </w:r>
      <w:r w:rsidR="00D27D24">
        <w:t>2022</w:t>
      </w:r>
    </w:p>
    <w:sectPr w:rsidR="0063372A" w:rsidRPr="007D0A96" w:rsidSect="00472187">
      <w:footerReference w:type="default" r:id="rId13"/>
      <w:headerReference w:type="first" r:id="rId14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342" w:rsidRDefault="000F1342">
      <w:r>
        <w:separator/>
      </w:r>
    </w:p>
  </w:endnote>
  <w:endnote w:type="continuationSeparator" w:id="0">
    <w:p w:rsidR="000F1342" w:rsidRDefault="000F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-Italic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lantinStd-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342" w:rsidRDefault="000F1342">
      <w:r>
        <w:separator/>
      </w:r>
    </w:p>
  </w:footnote>
  <w:footnote w:type="continuationSeparator" w:id="0">
    <w:p w:rsidR="000F1342" w:rsidRDefault="000F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28A01DD2" wp14:editId="21A4C254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150F1"/>
    <w:multiLevelType w:val="hybridMultilevel"/>
    <w:tmpl w:val="3D149CE4"/>
    <w:lvl w:ilvl="0" w:tplc="C0D2B52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51E92"/>
    <w:multiLevelType w:val="hybridMultilevel"/>
    <w:tmpl w:val="883A8FC2"/>
    <w:lvl w:ilvl="0" w:tplc="942E4FD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66DE"/>
    <w:rsid w:val="0000797A"/>
    <w:rsid w:val="00031798"/>
    <w:rsid w:val="000462B1"/>
    <w:rsid w:val="00076CDA"/>
    <w:rsid w:val="00092F1D"/>
    <w:rsid w:val="000A449F"/>
    <w:rsid w:val="000B2407"/>
    <w:rsid w:val="000C3EA2"/>
    <w:rsid w:val="000D6A7D"/>
    <w:rsid w:val="000E1207"/>
    <w:rsid w:val="000E64D7"/>
    <w:rsid w:val="000F1342"/>
    <w:rsid w:val="00100FDE"/>
    <w:rsid w:val="00106373"/>
    <w:rsid w:val="0010782F"/>
    <w:rsid w:val="001264AC"/>
    <w:rsid w:val="001A60CD"/>
    <w:rsid w:val="001B22FA"/>
    <w:rsid w:val="001B2D34"/>
    <w:rsid w:val="001C0661"/>
    <w:rsid w:val="001E233F"/>
    <w:rsid w:val="001E4C4E"/>
    <w:rsid w:val="001F2932"/>
    <w:rsid w:val="00231FE5"/>
    <w:rsid w:val="00235E33"/>
    <w:rsid w:val="002407C9"/>
    <w:rsid w:val="00265927"/>
    <w:rsid w:val="0028766C"/>
    <w:rsid w:val="002A0A21"/>
    <w:rsid w:val="003253C2"/>
    <w:rsid w:val="003616E4"/>
    <w:rsid w:val="00370594"/>
    <w:rsid w:val="003A3728"/>
    <w:rsid w:val="003B1DDC"/>
    <w:rsid w:val="003B3E7A"/>
    <w:rsid w:val="00411810"/>
    <w:rsid w:val="00412DC5"/>
    <w:rsid w:val="00424A7A"/>
    <w:rsid w:val="00427A80"/>
    <w:rsid w:val="00437286"/>
    <w:rsid w:val="00440B6F"/>
    <w:rsid w:val="00463500"/>
    <w:rsid w:val="00472187"/>
    <w:rsid w:val="00481F8F"/>
    <w:rsid w:val="004D6529"/>
    <w:rsid w:val="004F57E5"/>
    <w:rsid w:val="0050039D"/>
    <w:rsid w:val="005069BE"/>
    <w:rsid w:val="00511B4F"/>
    <w:rsid w:val="00580230"/>
    <w:rsid w:val="005A77EA"/>
    <w:rsid w:val="005B0E78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5886"/>
    <w:rsid w:val="006B4939"/>
    <w:rsid w:val="006B625A"/>
    <w:rsid w:val="006E1D3F"/>
    <w:rsid w:val="006E7A74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D0A96"/>
    <w:rsid w:val="007D35B5"/>
    <w:rsid w:val="007E6D92"/>
    <w:rsid w:val="007E729E"/>
    <w:rsid w:val="008169C2"/>
    <w:rsid w:val="00865FAE"/>
    <w:rsid w:val="008B1967"/>
    <w:rsid w:val="008B4F80"/>
    <w:rsid w:val="008C7D8A"/>
    <w:rsid w:val="008D57AB"/>
    <w:rsid w:val="008E46DD"/>
    <w:rsid w:val="008E5CFF"/>
    <w:rsid w:val="008F3232"/>
    <w:rsid w:val="009243CE"/>
    <w:rsid w:val="009403BD"/>
    <w:rsid w:val="00953330"/>
    <w:rsid w:val="00961394"/>
    <w:rsid w:val="0096663F"/>
    <w:rsid w:val="0098253B"/>
    <w:rsid w:val="009857DD"/>
    <w:rsid w:val="009F57ED"/>
    <w:rsid w:val="00A55C33"/>
    <w:rsid w:val="00A8559A"/>
    <w:rsid w:val="00AB2EDB"/>
    <w:rsid w:val="00AD258A"/>
    <w:rsid w:val="00AE4248"/>
    <w:rsid w:val="00B05675"/>
    <w:rsid w:val="00B24251"/>
    <w:rsid w:val="00B83048"/>
    <w:rsid w:val="00B87A4D"/>
    <w:rsid w:val="00B90D39"/>
    <w:rsid w:val="00BA1FD2"/>
    <w:rsid w:val="00BB0030"/>
    <w:rsid w:val="00BB1A65"/>
    <w:rsid w:val="00BC76CE"/>
    <w:rsid w:val="00BF0C14"/>
    <w:rsid w:val="00C35861"/>
    <w:rsid w:val="00C70344"/>
    <w:rsid w:val="00C71D32"/>
    <w:rsid w:val="00C83B38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27D24"/>
    <w:rsid w:val="00D81B12"/>
    <w:rsid w:val="00D85E7E"/>
    <w:rsid w:val="00D85FB6"/>
    <w:rsid w:val="00D9144D"/>
    <w:rsid w:val="00D960E5"/>
    <w:rsid w:val="00DA1B1B"/>
    <w:rsid w:val="00DA63DC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9587B"/>
    <w:rsid w:val="00EA34DA"/>
    <w:rsid w:val="00ED5C35"/>
    <w:rsid w:val="00EE1383"/>
    <w:rsid w:val="00F0353B"/>
    <w:rsid w:val="00F049B7"/>
    <w:rsid w:val="00F43C5F"/>
    <w:rsid w:val="00F607AA"/>
    <w:rsid w:val="00F8354D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3F80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34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re1">
    <w:name w:val="heading 1"/>
    <w:basedOn w:val="Normal"/>
    <w:link w:val="Titre1Car"/>
    <w:uiPriority w:val="9"/>
    <w:qFormat/>
    <w:rsid w:val="009666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styleId="Mentionnonrsolue">
    <w:name w:val="Unresolved Mention"/>
    <w:basedOn w:val="Policepardfaut"/>
    <w:uiPriority w:val="99"/>
    <w:rsid w:val="008169C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D6A7D"/>
  </w:style>
  <w:style w:type="character" w:customStyle="1" w:styleId="familyname">
    <w:name w:val="familyname"/>
    <w:basedOn w:val="Policepardfaut"/>
    <w:rsid w:val="000D6A7D"/>
  </w:style>
  <w:style w:type="paragraph" w:customStyle="1" w:styleId="Standard">
    <w:name w:val="Standard"/>
    <w:rsid w:val="007E6D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Footnote">
    <w:name w:val="Footnote"/>
    <w:basedOn w:val="Standard"/>
    <w:rsid w:val="007E6D92"/>
    <w:pPr>
      <w:suppressLineNumbers/>
      <w:ind w:left="339" w:hanging="339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6663F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hgkelc">
    <w:name w:val="hgkelc"/>
    <w:basedOn w:val="Policepardfaut"/>
    <w:rsid w:val="0096663F"/>
  </w:style>
  <w:style w:type="character" w:customStyle="1" w:styleId="highlight">
    <w:name w:val="highlight"/>
    <w:basedOn w:val="Policepardfaut"/>
    <w:rsid w:val="0096663F"/>
  </w:style>
  <w:style w:type="character" w:customStyle="1" w:styleId="a-size-extra-large">
    <w:name w:val="a-size-extra-large"/>
    <w:basedOn w:val="Policepardfaut"/>
    <w:rsid w:val="0096663F"/>
  </w:style>
  <w:style w:type="character" w:customStyle="1" w:styleId="a-list-item">
    <w:name w:val="a-list-item"/>
    <w:basedOn w:val="Policepardfaut"/>
    <w:rsid w:val="0096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La_Condition_postmoderne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sudoc.abes.fr/cbs/DB=2.1/SET=6/TTL=26/CLK?IKT=1018&amp;TRM=Gonthie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doc.abes.fr/cbs/DB=2.1/SET=6/TTL=26/CLK?IKT=1018&amp;TRM=Gene%CC%80v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doc.abes.fr/cbs/DB=2.1/SET=6/TTL=26/CLK?IKT=1018&amp;TRM=Par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ED9E4-BD28-A147-A70C-6F6FB9A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27</TotalTime>
  <Pages>8</Pages>
  <Words>2889</Words>
  <Characters>15088</Characters>
  <Application>Microsoft Office Word</Application>
  <DocSecurity>0</DocSecurity>
  <Lines>248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Microsoft Office User</cp:lastModifiedBy>
  <cp:revision>5</cp:revision>
  <dcterms:created xsi:type="dcterms:W3CDTF">2023-01-10T15:10:00Z</dcterms:created>
  <dcterms:modified xsi:type="dcterms:W3CDTF">2023-01-10T15:38:00Z</dcterms:modified>
</cp:coreProperties>
</file>