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A9D4" w14:textId="77777777" w:rsidR="0063372A" w:rsidRPr="007D0A96" w:rsidRDefault="0063372A" w:rsidP="0063372A">
      <w:pPr>
        <w:outlineLvl w:val="0"/>
        <w:rPr>
          <w:rFonts w:ascii="Times" w:hAnsi="Times"/>
        </w:rPr>
      </w:pPr>
    </w:p>
    <w:p w14:paraId="6C700341" w14:textId="77777777" w:rsidR="00E75C6B" w:rsidRPr="007D0A96" w:rsidRDefault="00E467A2" w:rsidP="00E75C6B">
      <w:pPr>
        <w:pStyle w:val="VDITitre"/>
      </w:pPr>
      <w:r>
        <w:t>L’hégémonie culturelle du colonialisme</w:t>
      </w:r>
    </w:p>
    <w:p w14:paraId="2039BB44"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E467A2">
        <w:t xml:space="preserve">Alain </w:t>
      </w:r>
      <w:proofErr w:type="spellStart"/>
      <w:r w:rsidR="00E467A2">
        <w:t>Policar</w:t>
      </w:r>
      <w:proofErr w:type="spellEnd"/>
    </w:p>
    <w:p w14:paraId="61D1F3D9" w14:textId="77777777" w:rsidR="00E467A2" w:rsidRPr="00D252A2" w:rsidRDefault="00E467A2" w:rsidP="00E467A2">
      <w:pPr>
        <w:pStyle w:val="VDIChapo"/>
      </w:pPr>
      <w:r w:rsidRPr="00D252A2">
        <w:t xml:space="preserve">La </w:t>
      </w:r>
      <w:proofErr w:type="spellStart"/>
      <w:r w:rsidRPr="00D252A2">
        <w:t>mouvance</w:t>
      </w:r>
      <w:proofErr w:type="spellEnd"/>
      <w:r w:rsidRPr="00D252A2">
        <w:t xml:space="preserve"> </w:t>
      </w:r>
      <w:proofErr w:type="spellStart"/>
      <w:r w:rsidRPr="00D252A2">
        <w:t>décoloniale</w:t>
      </w:r>
      <w:proofErr w:type="spellEnd"/>
      <w:r w:rsidRPr="00D252A2">
        <w:t xml:space="preserve"> </w:t>
      </w:r>
      <w:proofErr w:type="spellStart"/>
      <w:r w:rsidRPr="00D252A2">
        <w:t>est</w:t>
      </w:r>
      <w:proofErr w:type="spellEnd"/>
      <w:r w:rsidRPr="00D252A2">
        <w:t xml:space="preserve"> diverse et souvent très éclatée. Elle n’en demeure pas moins une force théorique majeure, qui traque toutes les formes d’eurocentrisme et </w:t>
      </w:r>
      <w:r>
        <w:t>explique</w:t>
      </w:r>
      <w:r w:rsidRPr="00D252A2">
        <w:t xml:space="preserve"> que </w:t>
      </w:r>
      <w:r>
        <w:t>la connaissance est toujours nécessairement située</w:t>
      </w:r>
      <w:r w:rsidRPr="00D252A2">
        <w:t xml:space="preserve">. </w:t>
      </w:r>
    </w:p>
    <w:p w14:paraId="4E84A4FF" w14:textId="03DA03FC" w:rsidR="00E467A2" w:rsidRPr="00E467A2" w:rsidRDefault="007D0A96" w:rsidP="00E467A2">
      <w:pPr>
        <w:pStyle w:val="VDIRecens"/>
      </w:pPr>
      <w:r w:rsidRPr="00E467A2">
        <w:t xml:space="preserve">À propos de : </w:t>
      </w:r>
      <w:r w:rsidR="00E467A2" w:rsidRPr="00E467A2">
        <w:rPr>
          <w:rFonts w:ascii="Book Antiqua" w:hAnsi="Book Antiqua"/>
        </w:rPr>
        <w:t xml:space="preserve">Stéphane Dufoix, </w:t>
      </w:r>
      <w:proofErr w:type="spellStart"/>
      <w:r w:rsidR="00E467A2" w:rsidRPr="00E467A2">
        <w:rPr>
          <w:rFonts w:ascii="Book Antiqua" w:hAnsi="Book Antiqua"/>
          <w:i/>
        </w:rPr>
        <w:t>Décolonial</w:t>
      </w:r>
      <w:proofErr w:type="spellEnd"/>
      <w:r w:rsidR="00E467A2" w:rsidRPr="00E467A2">
        <w:rPr>
          <w:rFonts w:ascii="Book Antiqua" w:hAnsi="Book Antiqua"/>
        </w:rPr>
        <w:t xml:space="preserve">, Paris, </w:t>
      </w:r>
      <w:proofErr w:type="spellStart"/>
      <w:r w:rsidR="00E467A2" w:rsidRPr="00E467A2">
        <w:rPr>
          <w:rFonts w:ascii="Book Antiqua" w:hAnsi="Book Antiqua"/>
        </w:rPr>
        <w:t>Anamosa</w:t>
      </w:r>
      <w:proofErr w:type="spellEnd"/>
      <w:r w:rsidR="00E467A2" w:rsidRPr="00E467A2">
        <w:rPr>
          <w:rFonts w:ascii="Book Antiqua" w:hAnsi="Book Antiqua"/>
        </w:rPr>
        <w:t xml:space="preserve">, 2023, 102 pages, 9 </w:t>
      </w:r>
      <w:r w:rsidR="00CB67CA">
        <w:rPr>
          <w:rFonts w:ascii="Book Antiqua" w:hAnsi="Book Antiqua"/>
        </w:rPr>
        <w:t>€</w:t>
      </w:r>
      <w:r w:rsidR="00E467A2" w:rsidRPr="00E467A2">
        <w:rPr>
          <w:rFonts w:ascii="Book Antiqua" w:hAnsi="Book Antiqua"/>
        </w:rPr>
        <w:t>.</w:t>
      </w:r>
    </w:p>
    <w:p w14:paraId="51BAAA52" w14:textId="77777777" w:rsidR="00E467A2" w:rsidRDefault="00E467A2" w:rsidP="00E467A2">
      <w:pPr>
        <w:pStyle w:val="Corps"/>
      </w:pPr>
      <w:r w:rsidRPr="00F6694C">
        <w:t xml:space="preserve">Dans un domaine où les contempteurs </w:t>
      </w:r>
      <w:r>
        <w:t xml:space="preserve">s’empressent </w:t>
      </w:r>
      <w:r w:rsidRPr="00F6694C">
        <w:t>de disqualifier un champ d’études en raison de sa supposée absence de rationalité ou de traiter d’imposteurs les auteurs qui s’en réclament, rares sont ceux qui se donnent la peine de lire les textes. La première vertu du livre de Stéphane Dufoix est son exceptionnelle connaissance du corpus qu’il étudie.</w:t>
      </w:r>
      <w:r>
        <w:t xml:space="preserve"> Cette connaissance lui permet d’en dégager l’extrême diversité (même si la plupart des auteurs sont originaires d’Amérique latine), d’abord disciplinaire (philosophie, sociologie, histoire, sémiotique, anthropologie, pédagogie et même théologie), mais aussi d’inspiration (philosophie de la libération, théorie de la dépendance, postcolonialisme). Et ainsi de parvenir, en peu de pages, à en dégager la logique, alors que, le plus souvent, on se contente d’en dénoncer les excès. </w:t>
      </w:r>
    </w:p>
    <w:p w14:paraId="0124E3E9" w14:textId="77777777" w:rsidR="00E467A2" w:rsidRPr="00E53F2D" w:rsidRDefault="00E467A2" w:rsidP="00E467A2">
      <w:pPr>
        <w:pStyle w:val="Corps"/>
      </w:pPr>
      <w:r>
        <w:t xml:space="preserve">Avant toute chose, il convient de procéder à une clarification terminologique. Pour nommer le courant dont il est question, certains parlent (nous l’avons fait) de </w:t>
      </w:r>
      <w:proofErr w:type="spellStart"/>
      <w:r w:rsidRPr="00297CAC">
        <w:t>décolonialisme</w:t>
      </w:r>
      <w:proofErr w:type="spellEnd"/>
      <w:r>
        <w:t xml:space="preserve">, alors que </w:t>
      </w:r>
      <w:r w:rsidRPr="00297CAC">
        <w:t>S</w:t>
      </w:r>
      <w:r>
        <w:t xml:space="preserve">. Dufoix, comme en témoigne le titre de l’ouvrage, préfère </w:t>
      </w:r>
      <w:proofErr w:type="spellStart"/>
      <w:r>
        <w:rPr>
          <w:i/>
        </w:rPr>
        <w:lastRenderedPageBreak/>
        <w:t>décolonial</w:t>
      </w:r>
      <w:proofErr w:type="spellEnd"/>
      <w:r>
        <w:t>. En effet, le premier est une construction polémique</w:t>
      </w:r>
      <w:r>
        <w:rPr>
          <w:rStyle w:val="Appelnotedebasdep"/>
          <w:rFonts w:ascii="Book Antiqua" w:hAnsi="Book Antiqua"/>
        </w:rPr>
        <w:footnoteReference w:id="1"/>
      </w:r>
      <w:r>
        <w:t xml:space="preserve">, destinée à disqualifier ceux qui s’inquiètent de la persistance de discriminations systémiques, et, surtout, il suppose une homogénéité introuvable, alors que le second n’implique pas l’affirmation de cette homogénéité. De surcroît, la position de S. Dufoix a le mérite d’être conforme avec la façon dont les auteurs </w:t>
      </w:r>
      <w:proofErr w:type="spellStart"/>
      <w:r>
        <w:t>décoloniaux</w:t>
      </w:r>
      <w:proofErr w:type="spellEnd"/>
      <w:r>
        <w:t>, eux-mêmes, se désignent. Nous nous rangeons donc à son choix : en effet, « </w:t>
      </w:r>
      <w:proofErr w:type="spellStart"/>
      <w:r>
        <w:rPr>
          <w:i/>
        </w:rPr>
        <w:t>décolonial</w:t>
      </w:r>
      <w:proofErr w:type="spellEnd"/>
      <w:r>
        <w:rPr>
          <w:i/>
        </w:rPr>
        <w:t xml:space="preserve"> </w:t>
      </w:r>
      <w:r>
        <w:t>invite à ce qu’on entre plus avant dans son histoire » (p. 23).</w:t>
      </w:r>
    </w:p>
    <w:p w14:paraId="7F480622" w14:textId="77777777" w:rsidR="00E467A2" w:rsidRPr="00E467A2" w:rsidRDefault="00E467A2" w:rsidP="00E467A2">
      <w:pPr>
        <w:pStyle w:val="Corps"/>
      </w:pPr>
      <w:r>
        <w:t xml:space="preserve">Et c’est bien ce que fait l’auteur en clarifiant la nature et de la puissance critique de l’interpellation que les auteurs se réclamant de la mouvance </w:t>
      </w:r>
      <w:proofErr w:type="spellStart"/>
      <w:r>
        <w:t>décoloniale</w:t>
      </w:r>
      <w:proofErr w:type="spellEnd"/>
      <w:r>
        <w:t xml:space="preserve"> adressent à l’Occident. </w:t>
      </w:r>
    </w:p>
    <w:p w14:paraId="092031CE" w14:textId="77777777" w:rsidR="00E467A2" w:rsidRPr="00FC6666" w:rsidRDefault="00E467A2" w:rsidP="00E467A2">
      <w:pPr>
        <w:pStyle w:val="VDIIntertitre"/>
      </w:pPr>
      <w:r w:rsidRPr="00FC6666">
        <w:t xml:space="preserve">Défense et illustration </w:t>
      </w:r>
      <w:r>
        <w:t xml:space="preserve">du paradigme </w:t>
      </w:r>
      <w:proofErr w:type="spellStart"/>
      <w:r>
        <w:t>décolonial</w:t>
      </w:r>
      <w:proofErr w:type="spellEnd"/>
    </w:p>
    <w:p w14:paraId="3323569F" w14:textId="77777777" w:rsidR="00E467A2" w:rsidRDefault="00E467A2" w:rsidP="00E467A2">
      <w:pPr>
        <w:pStyle w:val="Corps"/>
        <w:rPr>
          <w:color w:val="383838"/>
          <w:highlight w:val="white"/>
        </w:rPr>
      </w:pPr>
      <w:r>
        <w:t xml:space="preserve">L’affirmation principielle est </w:t>
      </w:r>
      <w:r w:rsidRPr="00326090">
        <w:t>l’ind</w:t>
      </w:r>
      <w:r>
        <w:t>issociabilité</w:t>
      </w:r>
      <w:r w:rsidRPr="00326090">
        <w:t xml:space="preserve"> de la </w:t>
      </w:r>
      <w:proofErr w:type="spellStart"/>
      <w:r w:rsidRPr="00326090">
        <w:rPr>
          <w:i/>
        </w:rPr>
        <w:t>colonialité</w:t>
      </w:r>
      <w:proofErr w:type="spellEnd"/>
      <w:r w:rsidRPr="0068279E">
        <w:rPr>
          <w:rStyle w:val="Appelnotedebasdep"/>
          <w:rFonts w:ascii="Book Antiqua" w:eastAsia="Cambria" w:hAnsi="Book Antiqua" w:cs="Cambria"/>
        </w:rPr>
        <w:footnoteReference w:id="2"/>
      </w:r>
      <w:r>
        <w:rPr>
          <w:i/>
        </w:rPr>
        <w:t xml:space="preserve"> </w:t>
      </w:r>
      <w:r>
        <w:t xml:space="preserve">et </w:t>
      </w:r>
      <w:r w:rsidRPr="00326090">
        <w:t xml:space="preserve">de la modernité, ce qui explique que </w:t>
      </w:r>
      <w:r w:rsidRPr="00326090">
        <w:rPr>
          <w:i/>
        </w:rPr>
        <w:t>1492</w:t>
      </w:r>
      <w:r w:rsidRPr="00326090">
        <w:t xml:space="preserve"> soit systématiquement privilégié comme </w:t>
      </w:r>
      <w:r>
        <w:t>la date inaugurale, celle</w:t>
      </w:r>
      <w:r w:rsidRPr="00326090">
        <w:t xml:space="preserve"> de l’i</w:t>
      </w:r>
      <w:r>
        <w:t xml:space="preserve">nstauration d’un ordre colonial fondé sur </w:t>
      </w:r>
      <w:r w:rsidRPr="00326090">
        <w:rPr>
          <w:color w:val="383838"/>
          <w:highlight w:val="white"/>
        </w:rPr>
        <w:t>l’émergence du commerce transatlantique tria</w:t>
      </w:r>
      <w:r>
        <w:rPr>
          <w:color w:val="383838"/>
          <w:highlight w:val="white"/>
        </w:rPr>
        <w:t>ngulaire</w:t>
      </w:r>
      <w:r w:rsidRPr="00326090">
        <w:rPr>
          <w:color w:val="383838"/>
          <w:highlight w:val="white"/>
        </w:rPr>
        <w:t>. Cette thèse s’ancre sur un</w:t>
      </w:r>
      <w:r>
        <w:rPr>
          <w:color w:val="383838"/>
          <w:highlight w:val="white"/>
        </w:rPr>
        <w:t>e réalité factuelle : c’est</w:t>
      </w:r>
      <w:r w:rsidRPr="00326090">
        <w:rPr>
          <w:color w:val="383838"/>
          <w:highlight w:val="white"/>
        </w:rPr>
        <w:t xml:space="preserve"> lors de cette période que se forge une identité européenne, celle du « nous contre le reste du monde », qui jus</w:t>
      </w:r>
      <w:r>
        <w:rPr>
          <w:color w:val="383838"/>
          <w:highlight w:val="white"/>
        </w:rPr>
        <w:t>tifie l’asservissement de certaines populations</w:t>
      </w:r>
      <w:r w:rsidRPr="00326090">
        <w:rPr>
          <w:color w:val="383838"/>
          <w:highlight w:val="white"/>
        </w:rPr>
        <w:t xml:space="preserve"> au nom de leur infériorité supposée.</w:t>
      </w:r>
      <w:r>
        <w:rPr>
          <w:color w:val="383838"/>
          <w:highlight w:val="white"/>
        </w:rPr>
        <w:t xml:space="preserve"> L</w:t>
      </w:r>
      <w:r w:rsidRPr="00326090">
        <w:rPr>
          <w:color w:val="383838"/>
          <w:highlight w:val="white"/>
        </w:rPr>
        <w:t xml:space="preserve">a </w:t>
      </w:r>
      <w:proofErr w:type="spellStart"/>
      <w:r w:rsidRPr="006F7356">
        <w:rPr>
          <w:i/>
        </w:rPr>
        <w:t>colonialité</w:t>
      </w:r>
      <w:proofErr w:type="spellEnd"/>
      <w:r w:rsidRPr="00326090">
        <w:t xml:space="preserve"> </w:t>
      </w:r>
      <w:r w:rsidRPr="00326090">
        <w:rPr>
          <w:color w:val="383838"/>
          <w:highlight w:val="white"/>
        </w:rPr>
        <w:t xml:space="preserve">n’est </w:t>
      </w:r>
      <w:r>
        <w:rPr>
          <w:color w:val="383838"/>
          <w:highlight w:val="white"/>
        </w:rPr>
        <w:t xml:space="preserve">donc </w:t>
      </w:r>
      <w:r w:rsidRPr="00326090">
        <w:rPr>
          <w:color w:val="383838"/>
          <w:highlight w:val="white"/>
        </w:rPr>
        <w:t xml:space="preserve">pas une conséquence de la modernité, elle est constitutive de celle-ci. </w:t>
      </w:r>
    </w:p>
    <w:p w14:paraId="6DBEE0BC" w14:textId="77777777" w:rsidR="00E467A2" w:rsidRPr="00862B11" w:rsidRDefault="00E467A2" w:rsidP="00E467A2">
      <w:pPr>
        <w:pStyle w:val="Corps"/>
        <w:rPr>
          <w:highlight w:val="white"/>
        </w:rPr>
      </w:pPr>
      <w:r>
        <w:rPr>
          <w:highlight w:val="white"/>
        </w:rPr>
        <w:t>E</w:t>
      </w:r>
      <w:r w:rsidRPr="00326090">
        <w:rPr>
          <w:highlight w:val="white"/>
        </w:rPr>
        <w:t>lle n’est pas un résidu ou une séquelle d’une viole</w:t>
      </w:r>
      <w:r>
        <w:rPr>
          <w:highlight w:val="white"/>
        </w:rPr>
        <w:t xml:space="preserve">nce originelle, le colonialisme. </w:t>
      </w:r>
      <w:proofErr w:type="spellStart"/>
      <w:r>
        <w:rPr>
          <w:highlight w:val="white"/>
        </w:rPr>
        <w:t>Décolonialité</w:t>
      </w:r>
      <w:proofErr w:type="spellEnd"/>
      <w:r>
        <w:rPr>
          <w:highlight w:val="white"/>
        </w:rPr>
        <w:t xml:space="preserve"> n’est donc pas synonyme de décolonisation : la </w:t>
      </w:r>
      <w:proofErr w:type="spellStart"/>
      <w:r>
        <w:rPr>
          <w:highlight w:val="white"/>
        </w:rPr>
        <w:t>colonialité</w:t>
      </w:r>
      <w:proofErr w:type="spellEnd"/>
      <w:r>
        <w:rPr>
          <w:highlight w:val="white"/>
        </w:rPr>
        <w:t xml:space="preserve"> survivant au colonialisme, la </w:t>
      </w:r>
      <w:proofErr w:type="spellStart"/>
      <w:r>
        <w:rPr>
          <w:highlight w:val="white"/>
        </w:rPr>
        <w:t>décolonialité</w:t>
      </w:r>
      <w:proofErr w:type="spellEnd"/>
      <w:r>
        <w:rPr>
          <w:highlight w:val="white"/>
        </w:rPr>
        <w:t xml:space="preserve"> doit compléter la décolonisation juridique et politique qui a été conduite aux XIXe et XXe siècles en s’intéressant à la dimension </w:t>
      </w:r>
      <w:r>
        <w:rPr>
          <w:highlight w:val="white"/>
        </w:rPr>
        <w:lastRenderedPageBreak/>
        <w:t>épistémique (</w:t>
      </w:r>
      <w:proofErr w:type="spellStart"/>
      <w:r>
        <w:rPr>
          <w:highlight w:val="white"/>
        </w:rPr>
        <w:t>colonialité</w:t>
      </w:r>
      <w:proofErr w:type="spellEnd"/>
      <w:r>
        <w:rPr>
          <w:highlight w:val="white"/>
        </w:rPr>
        <w:t xml:space="preserve"> du savoir pour </w:t>
      </w:r>
      <w:proofErr w:type="spellStart"/>
      <w:r w:rsidRPr="0067373D">
        <w:rPr>
          <w:bCs/>
          <w:highlight w:val="white"/>
        </w:rPr>
        <w:t>Edgardo</w:t>
      </w:r>
      <w:proofErr w:type="spellEnd"/>
      <w:r w:rsidRPr="0067373D">
        <w:rPr>
          <w:bCs/>
          <w:highlight w:val="white"/>
        </w:rPr>
        <w:t xml:space="preserve"> Lander</w:t>
      </w:r>
      <w:r w:rsidRPr="0067373D">
        <w:rPr>
          <w:rStyle w:val="Appelnotedebasdep"/>
          <w:rFonts w:ascii="Book Antiqua" w:eastAsia="Cambria" w:hAnsi="Book Antiqua" w:cs="Cambria"/>
          <w:bCs/>
          <w:color w:val="383838"/>
          <w:highlight w:val="white"/>
        </w:rPr>
        <w:footnoteReference w:id="3"/>
      </w:r>
      <w:r>
        <w:rPr>
          <w:highlight w:val="white"/>
        </w:rPr>
        <w:t xml:space="preserve">), ou encore à la négation </w:t>
      </w:r>
      <w:r w:rsidRPr="0067373D">
        <w:rPr>
          <w:highlight w:val="white"/>
        </w:rPr>
        <w:t>ontologique (</w:t>
      </w:r>
      <w:proofErr w:type="spellStart"/>
      <w:r w:rsidRPr="0067373D">
        <w:rPr>
          <w:highlight w:val="white"/>
        </w:rPr>
        <w:t>colonialité</w:t>
      </w:r>
      <w:proofErr w:type="spellEnd"/>
      <w:r w:rsidRPr="0067373D">
        <w:rPr>
          <w:highlight w:val="white"/>
        </w:rPr>
        <w:t xml:space="preserve"> de l’être, selon Walter </w:t>
      </w:r>
      <w:proofErr w:type="spellStart"/>
      <w:r w:rsidRPr="0067373D">
        <w:rPr>
          <w:highlight w:val="white"/>
        </w:rPr>
        <w:t>Mignolo</w:t>
      </w:r>
      <w:proofErr w:type="spellEnd"/>
      <w:r w:rsidRPr="0067373D">
        <w:rPr>
          <w:highlight w:val="white"/>
        </w:rPr>
        <w:t xml:space="preserve"> et Nelson Maldonado-Torres</w:t>
      </w:r>
      <w:r w:rsidRPr="0067373D">
        <w:rPr>
          <w:rStyle w:val="Appelnotedebasdep"/>
          <w:rFonts w:ascii="Book Antiqua" w:eastAsia="Cambria" w:hAnsi="Book Antiqua" w:cs="Cambria"/>
          <w:color w:val="383838"/>
          <w:highlight w:val="white"/>
        </w:rPr>
        <w:footnoteReference w:id="4"/>
      </w:r>
      <w:r w:rsidRPr="0067373D">
        <w:rPr>
          <w:highlight w:val="white"/>
        </w:rPr>
        <w:t xml:space="preserve">). Comme le résume Enrique </w:t>
      </w:r>
      <w:proofErr w:type="spellStart"/>
      <w:r w:rsidRPr="0067373D">
        <w:rPr>
          <w:highlight w:val="white"/>
        </w:rPr>
        <w:t>Dussel</w:t>
      </w:r>
      <w:proofErr w:type="spellEnd"/>
      <w:r w:rsidRPr="0067373D">
        <w:rPr>
          <w:highlight w:val="white"/>
        </w:rPr>
        <w:t>, les Indiens « voient leurs propres droits</w:t>
      </w:r>
      <w:r>
        <w:rPr>
          <w:highlight w:val="white"/>
        </w:rPr>
        <w:t xml:space="preserve"> niés, ainsi</w:t>
      </w:r>
      <w:r>
        <w:t xml:space="preserve"> </w:t>
      </w:r>
      <w:r>
        <w:rPr>
          <w:highlight w:val="white"/>
        </w:rPr>
        <w:t>que leur civilisation, leur culture, leur monde, leurs dieux au nom d’un dieu étranger et d’une raison moderne »</w:t>
      </w:r>
      <w:r>
        <w:rPr>
          <w:rStyle w:val="Appelnotedebasdep"/>
          <w:rFonts w:ascii="Book Antiqua" w:eastAsia="Cambria" w:hAnsi="Book Antiqua" w:cs="Cambria"/>
          <w:color w:val="383838"/>
          <w:highlight w:val="white"/>
        </w:rPr>
        <w:footnoteReference w:id="5"/>
      </w:r>
      <w:r>
        <w:rPr>
          <w:highlight w:val="white"/>
        </w:rPr>
        <w:t>.</w:t>
      </w:r>
    </w:p>
    <w:p w14:paraId="4EC0775E" w14:textId="77777777" w:rsidR="00E467A2" w:rsidRDefault="00E467A2" w:rsidP="00E467A2">
      <w:pPr>
        <w:pStyle w:val="Corps"/>
      </w:pPr>
      <w:r>
        <w:rPr>
          <w:highlight w:val="white"/>
        </w:rPr>
        <w:t xml:space="preserve">Cette perspective modifie profondément l’analyse de la modernité : cette dernière n’est plus le produit de processus internes au développement de l’Europe, elle apparaît lors de la rencontre de celle-ci avec l’Amérique, moment où se crée la notion de périphérie, « quand l’Europe </w:t>
      </w:r>
      <w:r>
        <w:t>put se définir comme un “ego” découvreur, conquérant, colonisateur de l’Altérité constitutive de sa propre Modernité »</w:t>
      </w:r>
      <w:r>
        <w:rPr>
          <w:rStyle w:val="Appelnotedebasdep"/>
          <w:rFonts w:ascii="Book Antiqua" w:eastAsia="Cambria" w:hAnsi="Book Antiqua" w:cs="Cambria"/>
          <w:color w:val="383838"/>
        </w:rPr>
        <w:footnoteReference w:id="6"/>
      </w:r>
      <w:r>
        <w:t>. On comprend que l’on ne puisse se contenter d’insister sur la dépossession des terres : il y a aussi dépossession des identités culturelles. De ces mécanismes, S. Dufoix rend compte avec clarté et érudition.</w:t>
      </w:r>
    </w:p>
    <w:p w14:paraId="48B040B7" w14:textId="77777777" w:rsidR="00E467A2" w:rsidRDefault="00E467A2" w:rsidP="00E467A2">
      <w:pPr>
        <w:pStyle w:val="Corps"/>
      </w:pPr>
      <w:r>
        <w:rPr>
          <w:color w:val="383838"/>
        </w:rPr>
        <w:t xml:space="preserve">Il insiste également opportunément sur l’existence de réelles </w:t>
      </w:r>
      <w:r w:rsidRPr="00326090">
        <w:t xml:space="preserve">injustices « épistémiques », lesquelles se caractérisent par les inégalités d’accès, selon l’appartenance raciale </w:t>
      </w:r>
      <w:r>
        <w:t>(</w:t>
      </w:r>
      <w:r w:rsidRPr="00326090">
        <w:t>ou de genre</w:t>
      </w:r>
      <w:r>
        <w:t>)</w:t>
      </w:r>
      <w:r w:rsidRPr="00326090">
        <w:t>, aux positions académiques d’autorité</w:t>
      </w:r>
      <w:r>
        <w:t xml:space="preserve"> (p. 61-70). Il peut s’agir </w:t>
      </w:r>
      <w:r w:rsidRPr="00326090">
        <w:t>d’</w:t>
      </w:r>
      <w:r w:rsidRPr="00326090">
        <w:rPr>
          <w:i/>
        </w:rPr>
        <w:t xml:space="preserve">injustice testimoniale </w:t>
      </w:r>
      <w:r w:rsidRPr="00326090">
        <w:t>pour évoquer les mécanismes qui invalident toute prise de parole en raison d’un doute sur la crédibilité de celui ou de celle qui s’exprime ou encore d’</w:t>
      </w:r>
      <w:r w:rsidRPr="00326090">
        <w:rPr>
          <w:i/>
        </w:rPr>
        <w:t xml:space="preserve">injustice herméneutique </w:t>
      </w:r>
      <w:r w:rsidRPr="00326090">
        <w:t>lorsque l’on manque des ressources interprétatives pour communiquer notre expérience.</w:t>
      </w:r>
      <w:r>
        <w:t xml:space="preserve"> On insiste ainsi sur </w:t>
      </w:r>
      <w:r w:rsidRPr="00326090">
        <w:t>la dichotomie entre, d’une part, connaissances et théories produites par l’Occident et, d’autre part, ce que les « autres » propose</w:t>
      </w:r>
      <w:r>
        <w:t>raie</w:t>
      </w:r>
      <w:r w:rsidRPr="00326090">
        <w:t xml:space="preserve">nt, soit religions, folklores et mythes. </w:t>
      </w:r>
      <w:r>
        <w:t>La décolonisation des savoirs doit passer par « une bonne connaissance des mécanismes par lesquels l’hégémonie culturelle s’est implantée et a pu se perpétuer » (p. 68), soit, selon le mot de S. Dufoix, par une « </w:t>
      </w:r>
      <w:proofErr w:type="spellStart"/>
      <w:r>
        <w:t>épistémépolitique</w:t>
      </w:r>
      <w:proofErr w:type="spellEnd"/>
      <w:r>
        <w:t xml:space="preserve"> » (p. 70) dont, entre autres, la « sociologie </w:t>
      </w:r>
      <w:r>
        <w:lastRenderedPageBreak/>
        <w:t xml:space="preserve">des absences » du sociologue portugais </w:t>
      </w:r>
      <w:proofErr w:type="spellStart"/>
      <w:r w:rsidRPr="0067373D">
        <w:rPr>
          <w:bCs/>
        </w:rPr>
        <w:t>Boaventura</w:t>
      </w:r>
      <w:proofErr w:type="spellEnd"/>
      <w:r w:rsidRPr="0067373D">
        <w:rPr>
          <w:bCs/>
        </w:rPr>
        <w:t xml:space="preserve"> de Sousa Santos</w:t>
      </w:r>
      <w:r w:rsidRPr="0067373D">
        <w:rPr>
          <w:rStyle w:val="Appelnotedebasdep"/>
          <w:rFonts w:ascii="Book Antiqua" w:eastAsia="Cambria" w:hAnsi="Book Antiqua" w:cs="Cambria"/>
          <w:bCs/>
        </w:rPr>
        <w:footnoteReference w:id="7"/>
      </w:r>
      <w:r>
        <w:t xml:space="preserve"> indique l’orientation (p. 75-81).</w:t>
      </w:r>
    </w:p>
    <w:p w14:paraId="2CAF9814" w14:textId="77777777" w:rsidR="00E467A2" w:rsidRDefault="00E467A2" w:rsidP="00E467A2">
      <w:pPr>
        <w:pStyle w:val="Normal1"/>
        <w:pBdr>
          <w:top w:val="nil"/>
          <w:left w:val="nil"/>
          <w:bottom w:val="nil"/>
          <w:right w:val="nil"/>
          <w:between w:val="nil"/>
        </w:pBdr>
        <w:spacing w:line="360" w:lineRule="auto"/>
        <w:ind w:firstLine="284"/>
        <w:jc w:val="both"/>
        <w:rPr>
          <w:rFonts w:ascii="Book Antiqua" w:eastAsia="Cambria" w:hAnsi="Book Antiqua" w:cs="Cambria"/>
          <w:color w:val="000000"/>
        </w:rPr>
      </w:pPr>
      <w:r>
        <w:rPr>
          <w:rFonts w:ascii="Book Antiqua" w:eastAsia="Cambria" w:hAnsi="Book Antiqua" w:cs="Cambria"/>
          <w:color w:val="000000"/>
        </w:rPr>
        <w:t>La critique de l’eurocentrisme, soit la prise en compte des épistémès locales, permet d’instaurer un lieu épistémique qui ne soit pas celui produit par la modernité</w:t>
      </w:r>
      <w:r>
        <w:rPr>
          <w:rStyle w:val="Appelnotedebasdep"/>
          <w:rFonts w:ascii="Book Antiqua" w:eastAsia="Cambria" w:hAnsi="Book Antiqua" w:cs="Cambria"/>
          <w:color w:val="000000"/>
        </w:rPr>
        <w:footnoteReference w:id="8"/>
      </w:r>
      <w:r>
        <w:rPr>
          <w:rFonts w:ascii="Book Antiqua" w:eastAsia="Cambria" w:hAnsi="Book Antiqua" w:cs="Cambria"/>
          <w:color w:val="000000"/>
        </w:rPr>
        <w:t xml:space="preserve">. Il ne s’agit donc pas d’une universalisation de l’épistémè européenne, mais d’un processus de </w:t>
      </w:r>
      <w:proofErr w:type="spellStart"/>
      <w:r>
        <w:rPr>
          <w:rFonts w:ascii="Book Antiqua" w:eastAsia="Cambria" w:hAnsi="Book Antiqua" w:cs="Cambria"/>
          <w:color w:val="000000"/>
        </w:rPr>
        <w:t>pluriversalisation</w:t>
      </w:r>
      <w:proofErr w:type="spellEnd"/>
      <w:r>
        <w:rPr>
          <w:rFonts w:ascii="Book Antiqua" w:eastAsia="Cambria" w:hAnsi="Book Antiqua" w:cs="Cambria"/>
          <w:color w:val="000000"/>
        </w:rPr>
        <w:t xml:space="preserve"> du monde. Le </w:t>
      </w:r>
      <w:proofErr w:type="spellStart"/>
      <w:r w:rsidRPr="007A1066">
        <w:rPr>
          <w:rFonts w:ascii="Book Antiqua" w:eastAsia="Cambria" w:hAnsi="Book Antiqua" w:cs="Cambria"/>
          <w:i/>
          <w:color w:val="000000"/>
        </w:rPr>
        <w:t>pluriversalisme</w:t>
      </w:r>
      <w:proofErr w:type="spellEnd"/>
      <w:r>
        <w:rPr>
          <w:rFonts w:ascii="Book Antiqua" w:eastAsia="Cambria" w:hAnsi="Book Antiqua" w:cs="Cambria"/>
          <w:color w:val="000000"/>
        </w:rPr>
        <w:t xml:space="preserve">, « devenu depuis vingt ans une notion clé du lexique </w:t>
      </w:r>
      <w:proofErr w:type="spellStart"/>
      <w:r>
        <w:rPr>
          <w:rFonts w:ascii="Book Antiqua" w:eastAsia="Cambria" w:hAnsi="Book Antiqua" w:cs="Cambria"/>
          <w:color w:val="000000"/>
        </w:rPr>
        <w:t>décolonial</w:t>
      </w:r>
      <w:proofErr w:type="spellEnd"/>
      <w:r>
        <w:rPr>
          <w:rFonts w:ascii="Book Antiqua" w:eastAsia="Cambria" w:hAnsi="Book Antiqua" w:cs="Cambria"/>
          <w:color w:val="000000"/>
        </w:rPr>
        <w:t> » (p. 45), s’oppose donc à l’eurocentrisme ou, si l’on préfère, à l’universalisme monologique, et représente, dans l’esprit de ses promoteurs, le véritable universalisme. Il s’oppose donc à sa version frelatée qui, selon S. Dufoix, « s’avère être le produit non pas d’un quelconque contrat social ou de la vérité de principes rationnels, mais bien d’une histoire de la domination de certains groupes sur d’autres » (p. 60).</w:t>
      </w:r>
    </w:p>
    <w:p w14:paraId="676A0ACF" w14:textId="77777777" w:rsidR="00E467A2" w:rsidRPr="00E8184F" w:rsidRDefault="00E467A2" w:rsidP="00E467A2">
      <w:pPr>
        <w:pStyle w:val="VDIIntertitre"/>
      </w:pPr>
      <w:r>
        <w:t>L’épistémologie est-elle nécessairement située ?</w:t>
      </w:r>
    </w:p>
    <w:p w14:paraId="6A2D9557" w14:textId="77777777" w:rsidR="00E467A2" w:rsidRDefault="00E467A2" w:rsidP="00E467A2">
      <w:pPr>
        <w:pStyle w:val="Corps"/>
      </w:pPr>
      <w:r>
        <w:t xml:space="preserve">Il convient cependant de savoir si nous ne passons pas ainsi de la nécessité de se défaire du caractère impérial de l’universel, autrement dit de le décoloniser, jusqu’au sacrifice de celui-ci. S. Dufoix est conscient de ce risque, mais peut-être s’en accommode-t-il, malgré les arguments qu’il mobilise pour nous persuader du contraire. </w:t>
      </w:r>
    </w:p>
    <w:p w14:paraId="71C72B41" w14:textId="77777777" w:rsidR="00E467A2" w:rsidRDefault="00E467A2" w:rsidP="00E467A2">
      <w:pPr>
        <w:pStyle w:val="Corps"/>
      </w:pPr>
      <w:r>
        <w:t xml:space="preserve">Si la critique </w:t>
      </w:r>
      <w:proofErr w:type="spellStart"/>
      <w:r>
        <w:t>décoloniale</w:t>
      </w:r>
      <w:proofErr w:type="spellEnd"/>
      <w:r>
        <w:t xml:space="preserve"> nous invite à prendre en considération le potentiel émancipateur de traditions de pensée considérées comme périphériques et, dès lors, à accepter un point de vue critique sur la manière dont nous décrivons et analysons le monde, ce qui est évidemment à inscrire à son crédit, parvient-elle à éviter le piège du relativisme ? Pour S. Dufoix, cette question est infondée. Elle le serait parce que la plupart des auteurs </w:t>
      </w:r>
      <w:proofErr w:type="spellStart"/>
      <w:r>
        <w:t>décoloniaux</w:t>
      </w:r>
      <w:proofErr w:type="spellEnd"/>
      <w:r>
        <w:t xml:space="preserve"> ne se réclament pas explicitement du relativisme (p. 81). L’argument n’est guère convaincant. De nombreux auteurs, tout particulièrement </w:t>
      </w:r>
      <w:r>
        <w:lastRenderedPageBreak/>
        <w:t>en philosophie des sciences, sont considérés comme relativistes bien qu’ils s’en défendent (Kuhn, pour ne prendre que cet exemple, n’assumait pas une posture relativiste). Or, il semblerait que nous soyons ici dans le même cas de figure : est-il relativiste de mettre en question, comme le fait S. Dufoix, l’idéal d’objectivité de l’enquête ou d’exprimer des doutes sur la plausibilité de l’universalisme scientifique (p. 81) ? Sa réponse est, bien entendu, négative. Mais alors comment nommer le scepticisme sur la possibilité d’un « point de vue de nulle part » (selon l’expression de Thomas Nagel) et comment interpréter l’affirmation suivante : « Adossé à l’universalisme de la raison et des droits, l’universalisme de la science présume ainsi l’égale applicabilité des concepts à toutes les situations et à toutes les régions du monde » (p. 73) ? Et, ajoute-t-il, « le poids du “vrai ” non situé, détaché et objectif, ignore ou bien écrase les différences qui n’entrent pas dans la norme » (p. 74).</w:t>
      </w:r>
    </w:p>
    <w:p w14:paraId="00D35819" w14:textId="77777777" w:rsidR="00E467A2" w:rsidRPr="008C4DEC" w:rsidRDefault="00E467A2" w:rsidP="00E467A2">
      <w:pPr>
        <w:pStyle w:val="Corps"/>
        <w:rPr>
          <w:rFonts w:cs="Times"/>
        </w:rPr>
      </w:pPr>
      <w:r>
        <w:t xml:space="preserve">Cette insistance sur le caractère situé de toute énonciation rend, à nos yeux, la volonté d’échapper au relativisme parfaitement vaine et l’hypothèse de la nécessaire construction de l’universalisme scientifique « sur la base de la pluralité des situations et des modes de savoir » (p. 82) relever de l’oxymore. </w:t>
      </w:r>
      <w:r>
        <w:rPr>
          <w:rFonts w:cs="Times"/>
        </w:rPr>
        <w:t>U</w:t>
      </w:r>
      <w:r w:rsidRPr="00580EE6">
        <w:rPr>
          <w:rFonts w:cs="Times"/>
        </w:rPr>
        <w:t>ne épistémologie qui a</w:t>
      </w:r>
      <w:r>
        <w:rPr>
          <w:rFonts w:cs="Times"/>
        </w:rPr>
        <w:t xml:space="preserve">urait, selon </w:t>
      </w:r>
      <w:r w:rsidRPr="00580EE6">
        <w:rPr>
          <w:rFonts w:cs="Times"/>
        </w:rPr>
        <w:t>Santiago Castro-Gomez</w:t>
      </w:r>
      <w:r>
        <w:rPr>
          <w:rFonts w:cs="Times"/>
        </w:rPr>
        <w:t>,</w:t>
      </w:r>
      <w:r w:rsidRPr="00580EE6">
        <w:rPr>
          <w:rFonts w:cs="Times"/>
        </w:rPr>
        <w:t xml:space="preserve"> « une couleur et une sexualité »</w:t>
      </w:r>
      <w:r w:rsidRPr="00580EE6">
        <w:rPr>
          <w:rStyle w:val="Appelnotedebasdep"/>
          <w:rFonts w:ascii="Book Antiqua" w:hAnsi="Book Antiqua" w:cs="Times"/>
        </w:rPr>
        <w:footnoteReference w:id="9"/>
      </w:r>
      <w:r>
        <w:rPr>
          <w:rFonts w:cs="Times"/>
        </w:rPr>
        <w:t>, est-elle vraiment une épistémologie ?</w:t>
      </w:r>
      <w:r>
        <w:t xml:space="preserve"> Q</w:t>
      </w:r>
      <w:r w:rsidRPr="00C551DF">
        <w:t xml:space="preserve">uelle valeur </w:t>
      </w:r>
      <w:r>
        <w:t xml:space="preserve">alors </w:t>
      </w:r>
      <w:r w:rsidRPr="00C551DF">
        <w:t>accorder</w:t>
      </w:r>
      <w:r>
        <w:t xml:space="preserve"> au savoir </w:t>
      </w:r>
      <w:r w:rsidRPr="00C551DF">
        <w:t xml:space="preserve">? </w:t>
      </w:r>
      <w:r>
        <w:t xml:space="preserve">Par nature, les principes épistémiques ont vocation à valoir indépendamment de tout contexte culturel. Dans l’hypothèse contraire, </w:t>
      </w:r>
      <w:r w:rsidRPr="00222B8C">
        <w:rPr>
          <w:rFonts w:eastAsia="Times New Roman"/>
        </w:rPr>
        <w:t>la question de la valeur de vérité des propositions perd toute légitimité</w:t>
      </w:r>
      <w:r>
        <w:rPr>
          <w:rFonts w:eastAsia="Times New Roman"/>
        </w:rPr>
        <w:t>. Si</w:t>
      </w:r>
      <w:r w:rsidRPr="00C75760">
        <w:rPr>
          <w:rFonts w:eastAsia="Times New Roman"/>
        </w:rPr>
        <w:t xml:space="preserve"> toute proposition descriptive est considérée com</w:t>
      </w:r>
      <w:r>
        <w:rPr>
          <w:rFonts w:eastAsia="Times New Roman"/>
        </w:rPr>
        <w:t xml:space="preserve">me un énoncé performatif, </w:t>
      </w:r>
      <w:r w:rsidRPr="00C75760">
        <w:rPr>
          <w:rFonts w:eastAsia="Times New Roman"/>
        </w:rPr>
        <w:t>la garantie objective de l’</w:t>
      </w:r>
      <w:proofErr w:type="spellStart"/>
      <w:r w:rsidRPr="00C75760">
        <w:rPr>
          <w:rFonts w:eastAsia="Times New Roman"/>
        </w:rPr>
        <w:t>assertabilité</w:t>
      </w:r>
      <w:proofErr w:type="spellEnd"/>
      <w:r w:rsidRPr="00C75760">
        <w:rPr>
          <w:rFonts w:eastAsia="Times New Roman"/>
        </w:rPr>
        <w:t xml:space="preserve"> e</w:t>
      </w:r>
      <w:r>
        <w:rPr>
          <w:rFonts w:eastAsia="Times New Roman"/>
        </w:rPr>
        <w:t>st niée. Or l</w:t>
      </w:r>
      <w:r w:rsidRPr="00C75760">
        <w:rPr>
          <w:rFonts w:eastAsia="Times New Roman" w:cs="Times New Roman"/>
        </w:rPr>
        <w:t>’hypothèse</w:t>
      </w:r>
      <w:r>
        <w:rPr>
          <w:rFonts w:eastAsia="Times New Roman" w:cs="Times New Roman"/>
        </w:rPr>
        <w:t xml:space="preserve"> </w:t>
      </w:r>
      <w:r w:rsidRPr="00C75760">
        <w:rPr>
          <w:rFonts w:eastAsia="Times New Roman" w:cs="Times New Roman"/>
        </w:rPr>
        <w:t xml:space="preserve">selon laquelle le langage n’aurait pas à s’accrocher à un monde extrinsèque </w:t>
      </w:r>
      <w:r>
        <w:rPr>
          <w:rFonts w:eastAsia="Times New Roman" w:cs="Times New Roman"/>
        </w:rPr>
        <w:t xml:space="preserve">est profondément relativiste. Elle nous contraindrait, à l’instar de </w:t>
      </w:r>
      <w:proofErr w:type="spellStart"/>
      <w:r>
        <w:rPr>
          <w:rFonts w:eastAsia="Times New Roman" w:cs="Times New Roman"/>
        </w:rPr>
        <w:t>Rorty</w:t>
      </w:r>
      <w:proofErr w:type="spellEnd"/>
      <w:r>
        <w:rPr>
          <w:rFonts w:eastAsia="Times New Roman" w:cs="Times New Roman"/>
        </w:rPr>
        <w:t>, à définir la vérité comme ce qui</w:t>
      </w:r>
      <w:r w:rsidRPr="00C75760">
        <w:rPr>
          <w:rFonts w:eastAsia="Times New Roman" w:cs="Times New Roman"/>
        </w:rPr>
        <w:t xml:space="preserve"> est conforme à nos «</w:t>
      </w:r>
      <w:r>
        <w:rPr>
          <w:rFonts w:eastAsia="Times New Roman" w:cs="Times New Roman"/>
        </w:rPr>
        <w:t xml:space="preserve"> </w:t>
      </w:r>
      <w:r w:rsidRPr="00C75760">
        <w:rPr>
          <w:rFonts w:eastAsia="Times New Roman" w:cs="Times New Roman"/>
        </w:rPr>
        <w:t>modèles culturels »</w:t>
      </w:r>
      <w:r>
        <w:rPr>
          <w:rStyle w:val="Appelnotedebasdep"/>
          <w:rFonts w:ascii="Book Antiqua" w:eastAsia="Times New Roman" w:hAnsi="Book Antiqua" w:cs="Times New Roman"/>
        </w:rPr>
        <w:footnoteReference w:id="10"/>
      </w:r>
      <w:r>
        <w:rPr>
          <w:rFonts w:eastAsia="Times New Roman" w:cs="Times New Roman"/>
        </w:rPr>
        <w:t>.</w:t>
      </w:r>
      <w:r w:rsidRPr="00C75760">
        <w:rPr>
          <w:rFonts w:eastAsia="Times New Roman" w:cs="Times New Roman"/>
        </w:rPr>
        <w:t xml:space="preserve"> </w:t>
      </w:r>
      <w:r>
        <w:rPr>
          <w:rFonts w:eastAsia="Times New Roman" w:cs="Times New Roman"/>
        </w:rPr>
        <w:t xml:space="preserve">Elle ne pourrait, par conséquent, éviter de disqualifier les </w:t>
      </w:r>
      <w:r w:rsidRPr="00C75760">
        <w:rPr>
          <w:rFonts w:eastAsia="Times New Roman" w:cs="Times New Roman"/>
        </w:rPr>
        <w:t>notions de « savoir</w:t>
      </w:r>
      <w:r>
        <w:rPr>
          <w:rFonts w:eastAsia="Times New Roman" w:cs="Times New Roman"/>
        </w:rPr>
        <w:t xml:space="preserve"> », de « fait » et de « raison », réduites à de simples produits culturels.</w:t>
      </w:r>
    </w:p>
    <w:p w14:paraId="46E777BF" w14:textId="77777777" w:rsidR="00E467A2" w:rsidRDefault="00E467A2" w:rsidP="00E467A2">
      <w:pPr>
        <w:pStyle w:val="Corps"/>
      </w:pPr>
      <w:r>
        <w:t xml:space="preserve">Ces conséquences ne sont pas assumées par S. Dufoix. Et si nous croyons sa position instable, c’est parce qu’il nous semble qu’existe une forte tension entre, d’une part, sa défense d’un « universalisme latéral » (selon l’expression de Merleau-Ponty, que reprend </w:t>
      </w:r>
      <w:r w:rsidRPr="0067373D">
        <w:rPr>
          <w:bCs/>
        </w:rPr>
        <w:t>Souleymane Bachir Diagne</w:t>
      </w:r>
      <w:r>
        <w:t xml:space="preserve">), lequel indique opportunément que l’universalisme est toujours à reconstruire, et, d’autre part, son choix en faveur de </w:t>
      </w:r>
      <w:r>
        <w:lastRenderedPageBreak/>
        <w:t xml:space="preserve">« l’universalité », conçue comme une voie intermédiaire entre « l’universalisme de nulle part et l’autochtonie d’une pensée endémique » (p. 83) contre l’universalisme, compris comme intrinsèquement hégémonique. N’est-ce pas une façon de congédier ce dernier, de le renvoyer à ses origines, autrement dit d’invalider son projet ? </w:t>
      </w:r>
    </w:p>
    <w:p w14:paraId="38E9AADD" w14:textId="77777777" w:rsidR="00E467A2" w:rsidRDefault="00E467A2" w:rsidP="00E467A2">
      <w:pPr>
        <w:pStyle w:val="Corps"/>
      </w:pPr>
      <w:r>
        <w:t xml:space="preserve">Pourtant, </w:t>
      </w:r>
      <w:r>
        <w:rPr>
          <w:color w:val="383F4E"/>
        </w:rPr>
        <w:t xml:space="preserve">comme l’a souligné </w:t>
      </w:r>
      <w:r w:rsidRPr="0067373D">
        <w:rPr>
          <w:bCs/>
          <w:color w:val="383F4E"/>
        </w:rPr>
        <w:t xml:space="preserve">Francis Wolff dans son beau </w:t>
      </w:r>
      <w:r w:rsidRPr="0067373D">
        <w:rPr>
          <w:bCs/>
          <w:i/>
          <w:color w:val="383F4E"/>
        </w:rPr>
        <w:t>Plaidoyer pour l’universel</w:t>
      </w:r>
      <w:r>
        <w:rPr>
          <w:color w:val="383F4E"/>
        </w:rPr>
        <w:t xml:space="preserve">, l’universalisme n’appartient pas à l’Europe, </w:t>
      </w:r>
      <w:r w:rsidRPr="003E0EE6">
        <w:t>mais à l’humanité, et d’abord aux opprimés, privés de droits et de liberté d’agir et de penser, dont l’immense majorité vit hors d’Europe.</w:t>
      </w:r>
      <w:r>
        <w:t xml:space="preserve"> Lors de sa leçon inaugurale au Collège de France, Antoine </w:t>
      </w:r>
      <w:proofErr w:type="spellStart"/>
      <w:r>
        <w:t>Lilti</w:t>
      </w:r>
      <w:proofErr w:type="spellEnd"/>
      <w:r>
        <w:t>, dans la même perspective, souligne que les Lumières n’ont jamais été un héritage exclusivement européen : « Les révolutionnaires sud-américains, au tournant des XVIII</w:t>
      </w:r>
      <w:r>
        <w:rPr>
          <w:vertAlign w:val="superscript"/>
        </w:rPr>
        <w:t xml:space="preserve">e </w:t>
      </w:r>
      <w:r>
        <w:t>et XIX</w:t>
      </w:r>
      <w:r>
        <w:rPr>
          <w:vertAlign w:val="superscript"/>
        </w:rPr>
        <w:t xml:space="preserve">e </w:t>
      </w:r>
      <w:r>
        <w:t xml:space="preserve">siècles, traduisaient et lisaient le </w:t>
      </w:r>
      <w:r>
        <w:rPr>
          <w:i/>
        </w:rPr>
        <w:t xml:space="preserve">Contrat social </w:t>
      </w:r>
      <w:r>
        <w:t xml:space="preserve">qui fut une des principales sources du républicanisme, du Río de la </w:t>
      </w:r>
      <w:proofErr w:type="spellStart"/>
      <w:r>
        <w:t>Plata</w:t>
      </w:r>
      <w:proofErr w:type="spellEnd"/>
      <w:r>
        <w:t xml:space="preserve"> jusqu’au Venezuela »</w:t>
      </w:r>
      <w:r>
        <w:rPr>
          <w:rStyle w:val="Appelnotedebasdep"/>
          <w:rFonts w:ascii="Book Antiqua" w:eastAsia=".SFNSText-Regular" w:hAnsi="Book Antiqua" w:cs="Times New Roman"/>
          <w:color w:val="050505"/>
        </w:rPr>
        <w:footnoteReference w:id="11"/>
      </w:r>
      <w:r>
        <w:t xml:space="preserve">. </w:t>
      </w:r>
      <w:r w:rsidRPr="00E467A2">
        <w:t xml:space="preserve">La tentative de liquidation des récits émancipateurs : le récit républicain et le récit de la lutte des classes, tous deux issus des Lumières, apparaît comme la conséquence de la réduction de la modernité à la </w:t>
      </w:r>
      <w:proofErr w:type="spellStart"/>
      <w:r w:rsidRPr="00E467A2">
        <w:t>colonialité</w:t>
      </w:r>
      <w:proofErr w:type="spellEnd"/>
      <w:r w:rsidRPr="00E467A2">
        <w:t xml:space="preserve">. Il ne nous semble pas que la volonté de l’auteur, que nous partageons, d’aller « vers la </w:t>
      </w:r>
      <w:proofErr w:type="spellStart"/>
      <w:r w:rsidRPr="00E467A2">
        <w:t>décolonie</w:t>
      </w:r>
      <w:proofErr w:type="spellEnd"/>
      <w:r w:rsidRPr="00E467A2">
        <w:t> »</w:t>
      </w:r>
      <w:r w:rsidRPr="00E467A2">
        <w:footnoteReference w:id="12"/>
      </w:r>
      <w:r w:rsidRPr="00E467A2">
        <w:t xml:space="preserve"> (p. 84), exige une telle réduction.</w:t>
      </w:r>
    </w:p>
    <w:p w14:paraId="774CA25E" w14:textId="77777777" w:rsidR="007E6D92" w:rsidRDefault="00E467A2" w:rsidP="00E467A2">
      <w:pPr>
        <w:pStyle w:val="Corps"/>
      </w:pPr>
      <w:r w:rsidRPr="00E467A2">
        <w:rPr>
          <w:rStyle w:val="TextecourantsansalinaCar"/>
          <w:rFonts w:ascii="Adobe Caslon Pro" w:hAnsi="Adobe Caslon Pro"/>
          <w:sz w:val="24"/>
          <w:szCs w:val="24"/>
          <w:lang w:val="fr-FR"/>
        </w:rPr>
        <w:t>Il n’en reste pas moins que, tel qu’il est, le travail de S. Dufoix remplit l’objectif qu’il s’était fixé : faire connaître un courant de pensée important et dégager toute sa puissance critique. Que nous ne partagions pas la totalité de ses analyses est, à cette aune, parfaitement anecdotique.</w:t>
      </w:r>
    </w:p>
    <w:p w14:paraId="51FDF84B" w14:textId="7EE72F4F"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CB67CA">
        <w:t>6 janvier 2023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8A84" w14:textId="77777777" w:rsidR="001C6572" w:rsidRDefault="001C6572">
      <w:r>
        <w:separator/>
      </w:r>
    </w:p>
  </w:endnote>
  <w:endnote w:type="continuationSeparator" w:id="0">
    <w:p w14:paraId="2B7A72AF" w14:textId="77777777" w:rsidR="001C6572" w:rsidRDefault="001C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FNSText-Regular">
    <w:panose1 w:val="020B0604020202020204"/>
    <w:charset w:val="88"/>
    <w:family w:val="auto"/>
    <w:pitch w:val="variable"/>
    <w:sig w:usb0="A00002D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9EDF"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A7D0" w14:textId="77777777" w:rsidR="001C6572" w:rsidRDefault="001C6572">
      <w:r>
        <w:separator/>
      </w:r>
    </w:p>
  </w:footnote>
  <w:footnote w:type="continuationSeparator" w:id="0">
    <w:p w14:paraId="239E6B08" w14:textId="77777777" w:rsidR="001C6572" w:rsidRDefault="001C6572">
      <w:r>
        <w:continuationSeparator/>
      </w:r>
    </w:p>
  </w:footnote>
  <w:footnote w:id="1">
    <w:p w14:paraId="14337163" w14:textId="77777777" w:rsidR="00E467A2" w:rsidRPr="00E53F2D" w:rsidRDefault="00E467A2" w:rsidP="00E467A2">
      <w:pPr>
        <w:pStyle w:val="Notedebasdepage"/>
      </w:pPr>
      <w:r w:rsidRPr="00E53F2D">
        <w:rPr>
          <w:rStyle w:val="Appelnotedebasdep"/>
          <w:rFonts w:ascii="Book Antiqua" w:hAnsi="Book Antiqua"/>
          <w:sz w:val="22"/>
          <w:szCs w:val="22"/>
        </w:rPr>
        <w:footnoteRef/>
      </w:r>
      <w:r w:rsidRPr="00E53F2D">
        <w:t xml:space="preserve"> Voir le chapitre dans lequel les mécanismes de cette construction sont parfaitement décrits</w:t>
      </w:r>
      <w:r>
        <w:t xml:space="preserve"> (</w:t>
      </w:r>
      <w:r w:rsidRPr="00E53F2D">
        <w:t>p. 24-38</w:t>
      </w:r>
      <w:r>
        <w:t>)</w:t>
      </w:r>
      <w:r w:rsidRPr="00E53F2D">
        <w:t>.</w:t>
      </w:r>
      <w:r>
        <w:t xml:space="preserve"> Plus loin, S. Dufoix insiste, à juste titre, sur le rôle joué, depuis la fin des années 1990, par les défenseurs d’un universalisme, dit républicain, mais en réalité « décharné », dans l’offensive anti-</w:t>
      </w:r>
      <w:proofErr w:type="spellStart"/>
      <w:r>
        <w:t>décoloniale</w:t>
      </w:r>
      <w:proofErr w:type="spellEnd"/>
      <w:r>
        <w:t xml:space="preserve">. Ce sont en effet les mêmes acteurs qui seront à l’origine de la création du Printemps républicain puis de l’Observatoire du </w:t>
      </w:r>
      <w:proofErr w:type="spellStart"/>
      <w:r>
        <w:t>décolonialisme</w:t>
      </w:r>
      <w:proofErr w:type="spellEnd"/>
      <w:r>
        <w:t xml:space="preserve">, lequel organisa le colloque de la Sorbonne consacré à la « déconstruction » (assimilée à la destruction !) en janvier 2022. </w:t>
      </w:r>
    </w:p>
  </w:footnote>
  <w:footnote w:id="2">
    <w:p w14:paraId="14919F49" w14:textId="77777777" w:rsidR="00E467A2" w:rsidRPr="00057471" w:rsidRDefault="00E467A2" w:rsidP="00E467A2">
      <w:pPr>
        <w:pStyle w:val="Notedebasdepage"/>
      </w:pPr>
      <w:r w:rsidRPr="00057471">
        <w:rPr>
          <w:rStyle w:val="Appelnotedebasdep"/>
          <w:rFonts w:ascii="Book Antiqua" w:hAnsi="Book Antiqua"/>
          <w:sz w:val="22"/>
          <w:szCs w:val="22"/>
        </w:rPr>
        <w:footnoteRef/>
      </w:r>
      <w:r w:rsidRPr="00057471">
        <w:t xml:space="preserve"> </w:t>
      </w:r>
      <w:r w:rsidRPr="00057471">
        <w:rPr>
          <w:rFonts w:cs="Lucida Sans Unicode"/>
          <w:color w:val="353535"/>
        </w:rPr>
        <w:t>Le terme « </w:t>
      </w:r>
      <w:proofErr w:type="spellStart"/>
      <w:r w:rsidRPr="00057471">
        <w:rPr>
          <w:rFonts w:cs="Lucida Sans Unicode"/>
          <w:color w:val="353535"/>
        </w:rPr>
        <w:t>colonialité</w:t>
      </w:r>
      <w:proofErr w:type="spellEnd"/>
      <w:r w:rsidRPr="00057471">
        <w:rPr>
          <w:rFonts w:cs="Lucida Sans Unicode"/>
          <w:color w:val="353535"/>
        </w:rPr>
        <w:t> » dérive du « colonialisme interne » qui signifie la persistance après les indépendances du système racial-colonial.</w:t>
      </w:r>
    </w:p>
  </w:footnote>
  <w:footnote w:id="3">
    <w:p w14:paraId="31986F77" w14:textId="77777777" w:rsidR="00E467A2" w:rsidRPr="0067373D" w:rsidRDefault="00E467A2" w:rsidP="00E467A2">
      <w:pPr>
        <w:pStyle w:val="Notedebasdepage"/>
        <w:rPr>
          <w:rFonts w:eastAsia="Times New Roman"/>
        </w:rPr>
      </w:pPr>
      <w:r w:rsidRPr="0067373D">
        <w:rPr>
          <w:rStyle w:val="Appelnotedebasdep"/>
          <w:rFonts w:ascii="Book Antiqua" w:hAnsi="Book Antiqua"/>
          <w:sz w:val="22"/>
          <w:szCs w:val="22"/>
        </w:rPr>
        <w:footnoteRef/>
      </w:r>
      <w:r w:rsidRPr="0067373D">
        <w:t xml:space="preserve"> </w:t>
      </w:r>
      <w:proofErr w:type="spellStart"/>
      <w:r w:rsidRPr="0067373D">
        <w:rPr>
          <w:rFonts w:eastAsia="Times New Roman"/>
          <w:color w:val="333333"/>
          <w:shd w:val="clear" w:color="auto" w:fill="FFFFFF"/>
          <w:lang w:eastAsia="fr-FR"/>
        </w:rPr>
        <w:t>Edgardo</w:t>
      </w:r>
      <w:proofErr w:type="spellEnd"/>
      <w:r w:rsidRPr="0067373D">
        <w:rPr>
          <w:rFonts w:eastAsia="Times New Roman"/>
          <w:color w:val="333333"/>
          <w:shd w:val="clear" w:color="auto" w:fill="FFFFFF"/>
          <w:lang w:eastAsia="fr-FR"/>
        </w:rPr>
        <w:t> Lander (</w:t>
      </w:r>
      <w:proofErr w:type="spellStart"/>
      <w:r w:rsidRPr="0067373D">
        <w:rPr>
          <w:rFonts w:eastAsia="Times New Roman"/>
          <w:color w:val="333333"/>
          <w:shd w:val="clear" w:color="auto" w:fill="FFFFFF"/>
          <w:lang w:eastAsia="fr-FR"/>
        </w:rPr>
        <w:t>dir</w:t>
      </w:r>
      <w:proofErr w:type="spellEnd"/>
      <w:r w:rsidRPr="0067373D">
        <w:rPr>
          <w:rFonts w:eastAsia="Times New Roman"/>
          <w:color w:val="333333"/>
          <w:shd w:val="clear" w:color="auto" w:fill="FFFFFF"/>
          <w:lang w:eastAsia="fr-FR"/>
        </w:rPr>
        <w:t>.), </w:t>
      </w:r>
      <w:r w:rsidRPr="0067373D">
        <w:rPr>
          <w:rFonts w:eastAsia="Times New Roman"/>
          <w:i/>
          <w:iCs/>
          <w:color w:val="333333"/>
          <w:shd w:val="clear" w:color="auto" w:fill="FFFFFF"/>
          <w:lang w:eastAsia="fr-FR"/>
        </w:rPr>
        <w:t xml:space="preserve">La </w:t>
      </w:r>
      <w:proofErr w:type="spellStart"/>
      <w:r w:rsidRPr="0067373D">
        <w:rPr>
          <w:rFonts w:eastAsia="Times New Roman"/>
          <w:i/>
          <w:iCs/>
          <w:color w:val="333333"/>
          <w:shd w:val="clear" w:color="auto" w:fill="FFFFFF"/>
          <w:lang w:eastAsia="fr-FR"/>
        </w:rPr>
        <w:t>colonialidad</w:t>
      </w:r>
      <w:proofErr w:type="spellEnd"/>
      <w:r w:rsidRPr="0067373D">
        <w:rPr>
          <w:rFonts w:eastAsia="Times New Roman"/>
          <w:i/>
          <w:iCs/>
          <w:color w:val="333333"/>
          <w:shd w:val="clear" w:color="auto" w:fill="FFFFFF"/>
          <w:lang w:eastAsia="fr-FR"/>
        </w:rPr>
        <w:t xml:space="preserve"> </w:t>
      </w:r>
      <w:proofErr w:type="spellStart"/>
      <w:r w:rsidRPr="0067373D">
        <w:rPr>
          <w:rFonts w:eastAsia="Times New Roman"/>
          <w:i/>
          <w:iCs/>
          <w:color w:val="333333"/>
          <w:shd w:val="clear" w:color="auto" w:fill="FFFFFF"/>
          <w:lang w:eastAsia="fr-FR"/>
        </w:rPr>
        <w:t>del</w:t>
      </w:r>
      <w:proofErr w:type="spellEnd"/>
      <w:r w:rsidRPr="0067373D">
        <w:rPr>
          <w:rFonts w:eastAsia="Times New Roman"/>
          <w:i/>
          <w:iCs/>
          <w:color w:val="333333"/>
          <w:shd w:val="clear" w:color="auto" w:fill="FFFFFF"/>
          <w:lang w:eastAsia="fr-FR"/>
        </w:rPr>
        <w:t xml:space="preserve"> </w:t>
      </w:r>
      <w:proofErr w:type="spellStart"/>
      <w:proofErr w:type="gramStart"/>
      <w:r w:rsidRPr="0067373D">
        <w:rPr>
          <w:rFonts w:eastAsia="Times New Roman"/>
          <w:i/>
          <w:iCs/>
          <w:color w:val="333333"/>
          <w:shd w:val="clear" w:color="auto" w:fill="FFFFFF"/>
          <w:lang w:eastAsia="fr-FR"/>
        </w:rPr>
        <w:t>saber</w:t>
      </w:r>
      <w:proofErr w:type="spellEnd"/>
      <w:r w:rsidRPr="0067373D">
        <w:rPr>
          <w:rFonts w:eastAsia="Times New Roman"/>
          <w:i/>
          <w:iCs/>
          <w:color w:val="333333"/>
          <w:shd w:val="clear" w:color="auto" w:fill="FFFFFF"/>
          <w:lang w:eastAsia="fr-FR"/>
        </w:rPr>
        <w:t>:</w:t>
      </w:r>
      <w:proofErr w:type="gramEnd"/>
      <w:r w:rsidRPr="0067373D">
        <w:rPr>
          <w:rFonts w:eastAsia="Times New Roman"/>
          <w:i/>
          <w:iCs/>
          <w:color w:val="333333"/>
          <w:shd w:val="clear" w:color="auto" w:fill="FFFFFF"/>
          <w:lang w:eastAsia="fr-FR"/>
        </w:rPr>
        <w:t xml:space="preserve"> </w:t>
      </w:r>
      <w:proofErr w:type="spellStart"/>
      <w:r w:rsidRPr="0067373D">
        <w:rPr>
          <w:rFonts w:eastAsia="Times New Roman"/>
          <w:i/>
          <w:iCs/>
          <w:color w:val="333333"/>
          <w:shd w:val="clear" w:color="auto" w:fill="FFFFFF"/>
          <w:lang w:eastAsia="fr-FR"/>
        </w:rPr>
        <w:t>eurocentrismo</w:t>
      </w:r>
      <w:proofErr w:type="spellEnd"/>
      <w:r w:rsidRPr="0067373D">
        <w:rPr>
          <w:rFonts w:eastAsia="Times New Roman"/>
          <w:i/>
          <w:iCs/>
          <w:color w:val="333333"/>
          <w:shd w:val="clear" w:color="auto" w:fill="FFFFFF"/>
          <w:lang w:eastAsia="fr-FR"/>
        </w:rPr>
        <w:t xml:space="preserve"> y </w:t>
      </w:r>
      <w:proofErr w:type="spellStart"/>
      <w:r w:rsidRPr="0067373D">
        <w:rPr>
          <w:rFonts w:eastAsia="Times New Roman"/>
          <w:i/>
          <w:iCs/>
          <w:color w:val="333333"/>
          <w:shd w:val="clear" w:color="auto" w:fill="FFFFFF"/>
          <w:lang w:eastAsia="fr-FR"/>
        </w:rPr>
        <w:t>ciencias</w:t>
      </w:r>
      <w:proofErr w:type="spellEnd"/>
      <w:r w:rsidRPr="0067373D">
        <w:rPr>
          <w:rFonts w:eastAsia="Times New Roman"/>
          <w:i/>
          <w:iCs/>
          <w:color w:val="333333"/>
          <w:shd w:val="clear" w:color="auto" w:fill="FFFFFF"/>
          <w:lang w:eastAsia="fr-FR"/>
        </w:rPr>
        <w:t xml:space="preserve"> sociales. </w:t>
      </w:r>
      <w:proofErr w:type="spellStart"/>
      <w:r w:rsidRPr="0067373D">
        <w:rPr>
          <w:rFonts w:eastAsia="Times New Roman"/>
          <w:i/>
          <w:iCs/>
          <w:color w:val="333333"/>
          <w:shd w:val="clear" w:color="auto" w:fill="FFFFFF"/>
          <w:lang w:eastAsia="fr-FR"/>
        </w:rPr>
        <w:t>Perspectivas</w:t>
      </w:r>
      <w:proofErr w:type="spellEnd"/>
      <w:r w:rsidRPr="0067373D">
        <w:rPr>
          <w:rFonts w:eastAsia="Times New Roman"/>
          <w:i/>
          <w:iCs/>
          <w:color w:val="333333"/>
          <w:shd w:val="clear" w:color="auto" w:fill="FFFFFF"/>
          <w:lang w:eastAsia="fr-FR"/>
        </w:rPr>
        <w:t xml:space="preserve"> </w:t>
      </w:r>
      <w:proofErr w:type="spellStart"/>
      <w:r w:rsidRPr="0067373D">
        <w:rPr>
          <w:rFonts w:eastAsia="Times New Roman"/>
          <w:i/>
          <w:iCs/>
          <w:color w:val="333333"/>
          <w:shd w:val="clear" w:color="auto" w:fill="FFFFFF"/>
          <w:lang w:eastAsia="fr-FR"/>
        </w:rPr>
        <w:t>Latinoamericanas</w:t>
      </w:r>
      <w:proofErr w:type="spellEnd"/>
      <w:r w:rsidRPr="0067373D">
        <w:rPr>
          <w:rFonts w:eastAsia="Times New Roman"/>
          <w:color w:val="333333"/>
          <w:shd w:val="clear" w:color="auto" w:fill="FFFFFF"/>
          <w:lang w:eastAsia="fr-FR"/>
        </w:rPr>
        <w:t>, Buenos Aires, CLACSO, 2000</w:t>
      </w:r>
      <w:r w:rsidRPr="005559D3">
        <w:rPr>
          <w:rFonts w:eastAsia="Times New Roman"/>
          <w:color w:val="333333"/>
          <w:shd w:val="clear" w:color="auto" w:fill="FFFFFF"/>
          <w:lang w:eastAsia="fr-FR"/>
        </w:rPr>
        <w:t xml:space="preserve"> et Walter </w:t>
      </w:r>
      <w:proofErr w:type="spellStart"/>
      <w:r w:rsidRPr="0067373D">
        <w:rPr>
          <w:rFonts w:eastAsia="Times New Roman"/>
          <w:color w:val="373D3F"/>
          <w:shd w:val="clear" w:color="auto" w:fill="FFFFFF"/>
          <w:lang w:eastAsia="fr-FR"/>
        </w:rPr>
        <w:t>Mignolo</w:t>
      </w:r>
      <w:proofErr w:type="spellEnd"/>
      <w:r w:rsidRPr="0067373D">
        <w:rPr>
          <w:rFonts w:eastAsia="Times New Roman"/>
          <w:color w:val="373D3F"/>
          <w:shd w:val="clear" w:color="auto" w:fill="FFFFFF"/>
          <w:lang w:eastAsia="fr-FR"/>
        </w:rPr>
        <w:t xml:space="preserve">, « Géopolitique de la connaissance, </w:t>
      </w:r>
      <w:proofErr w:type="spellStart"/>
      <w:r w:rsidRPr="0067373D">
        <w:rPr>
          <w:rFonts w:eastAsia="Times New Roman"/>
          <w:color w:val="373D3F"/>
          <w:shd w:val="clear" w:color="auto" w:fill="FFFFFF"/>
          <w:lang w:eastAsia="fr-FR"/>
        </w:rPr>
        <w:t>colonialité</w:t>
      </w:r>
      <w:proofErr w:type="spellEnd"/>
      <w:r w:rsidRPr="0067373D">
        <w:rPr>
          <w:rFonts w:eastAsia="Times New Roman"/>
          <w:color w:val="373D3F"/>
          <w:shd w:val="clear" w:color="auto" w:fill="FFFFFF"/>
          <w:lang w:eastAsia="fr-FR"/>
        </w:rPr>
        <w:t xml:space="preserve"> du savoir et différence coloniale ». </w:t>
      </w:r>
      <w:r w:rsidRPr="0067373D">
        <w:rPr>
          <w:rFonts w:eastAsia="Times New Roman"/>
          <w:i/>
          <w:iCs/>
          <w:color w:val="373D3F"/>
          <w:shd w:val="clear" w:color="auto" w:fill="FFFFFF"/>
          <w:lang w:eastAsia="fr-FR"/>
        </w:rPr>
        <w:t>Multitudes</w:t>
      </w:r>
      <w:r w:rsidRPr="0067373D">
        <w:rPr>
          <w:rFonts w:eastAsia="Times New Roman"/>
          <w:color w:val="373D3F"/>
          <w:shd w:val="clear" w:color="auto" w:fill="FFFFFF"/>
          <w:lang w:eastAsia="fr-FR"/>
        </w:rPr>
        <w:t> 3 (6), 2001, p. 56-71.</w:t>
      </w:r>
    </w:p>
  </w:footnote>
  <w:footnote w:id="4">
    <w:p w14:paraId="3FF8E7B2" w14:textId="77777777" w:rsidR="00E467A2" w:rsidRPr="0067373D" w:rsidRDefault="00E467A2" w:rsidP="00E467A2">
      <w:pPr>
        <w:pStyle w:val="Notedebasdepage"/>
        <w:rPr>
          <w:rFonts w:eastAsia="Times New Roman"/>
        </w:rPr>
      </w:pPr>
      <w:r w:rsidRPr="0067373D">
        <w:rPr>
          <w:rStyle w:val="Appelnotedebasdep"/>
          <w:rFonts w:ascii="Book Antiqua" w:hAnsi="Book Antiqua"/>
          <w:sz w:val="22"/>
          <w:szCs w:val="22"/>
        </w:rPr>
        <w:footnoteRef/>
      </w:r>
      <w:r w:rsidRPr="0067373D">
        <w:t xml:space="preserve"> Nelson </w:t>
      </w:r>
      <w:r w:rsidRPr="0067373D">
        <w:rPr>
          <w:rFonts w:eastAsia="Times New Roman"/>
          <w:color w:val="373D3F"/>
          <w:shd w:val="clear" w:color="auto" w:fill="FFFFFF"/>
          <w:lang w:eastAsia="fr-FR"/>
        </w:rPr>
        <w:t xml:space="preserve">Maldonado-Torres, « À propos de la </w:t>
      </w:r>
      <w:proofErr w:type="spellStart"/>
      <w:r w:rsidRPr="0067373D">
        <w:rPr>
          <w:rFonts w:eastAsia="Times New Roman"/>
          <w:color w:val="373D3F"/>
          <w:shd w:val="clear" w:color="auto" w:fill="FFFFFF"/>
          <w:lang w:eastAsia="fr-FR"/>
        </w:rPr>
        <w:t>colonialité</w:t>
      </w:r>
      <w:proofErr w:type="spellEnd"/>
      <w:r w:rsidRPr="0067373D">
        <w:rPr>
          <w:rFonts w:eastAsia="Times New Roman"/>
          <w:color w:val="373D3F"/>
          <w:shd w:val="clear" w:color="auto" w:fill="FFFFFF"/>
          <w:lang w:eastAsia="fr-FR"/>
        </w:rPr>
        <w:t xml:space="preserve"> de l’être. Contribution à l’élaboration d’un concept » </w:t>
      </w:r>
      <w:r w:rsidRPr="0067373D">
        <w:rPr>
          <w:rFonts w:eastAsia="Times New Roman"/>
          <w:i/>
          <w:color w:val="373D3F"/>
          <w:shd w:val="clear" w:color="auto" w:fill="FFFFFF"/>
          <w:lang w:eastAsia="fr-FR"/>
        </w:rPr>
        <w:t xml:space="preserve">in </w:t>
      </w:r>
      <w:r w:rsidRPr="0067373D">
        <w:rPr>
          <w:rFonts w:eastAsia="Times New Roman"/>
          <w:color w:val="373D3F"/>
          <w:shd w:val="clear" w:color="auto" w:fill="FFFFFF"/>
          <w:lang w:eastAsia="fr-FR"/>
        </w:rPr>
        <w:t xml:space="preserve">Claude Bourguignon Rougier, Philippe Colin et </w:t>
      </w:r>
      <w:proofErr w:type="spellStart"/>
      <w:r w:rsidRPr="0067373D">
        <w:rPr>
          <w:rFonts w:eastAsia="Times New Roman"/>
          <w:color w:val="373D3F"/>
          <w:shd w:val="clear" w:color="auto" w:fill="FFFFFF"/>
          <w:lang w:eastAsia="fr-FR"/>
        </w:rPr>
        <w:t>Ramón</w:t>
      </w:r>
      <w:proofErr w:type="spellEnd"/>
      <w:r w:rsidRPr="0067373D">
        <w:rPr>
          <w:rFonts w:eastAsia="Times New Roman"/>
          <w:color w:val="373D3F"/>
          <w:shd w:val="clear" w:color="auto" w:fill="FFFFFF"/>
          <w:lang w:eastAsia="fr-FR"/>
        </w:rPr>
        <w:t xml:space="preserve"> </w:t>
      </w:r>
      <w:proofErr w:type="spellStart"/>
      <w:r w:rsidRPr="0067373D">
        <w:rPr>
          <w:rFonts w:eastAsia="Times New Roman"/>
          <w:color w:val="373D3F"/>
          <w:shd w:val="clear" w:color="auto" w:fill="FFFFFF"/>
          <w:lang w:eastAsia="fr-FR"/>
        </w:rPr>
        <w:t>Grosfoguel</w:t>
      </w:r>
      <w:proofErr w:type="spellEnd"/>
      <w:r w:rsidRPr="0067373D">
        <w:rPr>
          <w:rFonts w:eastAsia="Times New Roman"/>
          <w:color w:val="373D3F"/>
          <w:shd w:val="clear" w:color="auto" w:fill="FFFFFF"/>
          <w:lang w:eastAsia="fr-FR"/>
        </w:rPr>
        <w:t xml:space="preserve"> (</w:t>
      </w:r>
      <w:proofErr w:type="spellStart"/>
      <w:r w:rsidRPr="0067373D">
        <w:rPr>
          <w:rFonts w:eastAsia="Times New Roman"/>
          <w:color w:val="373D3F"/>
          <w:shd w:val="clear" w:color="auto" w:fill="FFFFFF"/>
          <w:lang w:eastAsia="fr-FR"/>
        </w:rPr>
        <w:t>dir</w:t>
      </w:r>
      <w:proofErr w:type="spellEnd"/>
      <w:r w:rsidRPr="0067373D">
        <w:rPr>
          <w:rFonts w:eastAsia="Times New Roman"/>
          <w:color w:val="373D3F"/>
          <w:shd w:val="clear" w:color="auto" w:fill="FFFFFF"/>
          <w:lang w:eastAsia="fr-FR"/>
        </w:rPr>
        <w:t xml:space="preserve">.), </w:t>
      </w:r>
      <w:r w:rsidRPr="0067373D">
        <w:rPr>
          <w:rFonts w:eastAsia="Times New Roman"/>
          <w:i/>
          <w:iCs/>
          <w:color w:val="373D3F"/>
          <w:shd w:val="clear" w:color="auto" w:fill="FFFFFF"/>
          <w:lang w:eastAsia="fr-FR"/>
        </w:rPr>
        <w:t xml:space="preserve">Penser l’envers obscur de la modernité : une anthologie de la pensée </w:t>
      </w:r>
      <w:proofErr w:type="spellStart"/>
      <w:r w:rsidRPr="0067373D">
        <w:rPr>
          <w:rFonts w:eastAsia="Times New Roman"/>
          <w:i/>
          <w:iCs/>
          <w:color w:val="373D3F"/>
          <w:shd w:val="clear" w:color="auto" w:fill="FFFFFF"/>
          <w:lang w:eastAsia="fr-FR"/>
        </w:rPr>
        <w:t>décoloniale</w:t>
      </w:r>
      <w:proofErr w:type="spellEnd"/>
      <w:r w:rsidRPr="0067373D">
        <w:rPr>
          <w:rFonts w:eastAsia="Times New Roman"/>
          <w:i/>
          <w:iCs/>
          <w:color w:val="373D3F"/>
          <w:shd w:val="clear" w:color="auto" w:fill="FFFFFF"/>
          <w:lang w:eastAsia="fr-FR"/>
        </w:rPr>
        <w:t xml:space="preserve"> latino-américaine</w:t>
      </w:r>
      <w:r w:rsidRPr="0067373D">
        <w:rPr>
          <w:rFonts w:eastAsia="Times New Roman"/>
          <w:iCs/>
          <w:color w:val="373D3F"/>
          <w:shd w:val="clear" w:color="auto" w:fill="FFFFFF"/>
          <w:lang w:eastAsia="fr-FR"/>
        </w:rPr>
        <w:t xml:space="preserve">, Limoges, 2014, PULIM et Norman Ajari, </w:t>
      </w:r>
      <w:r w:rsidRPr="0067373D">
        <w:rPr>
          <w:rFonts w:eastAsia="Times New Roman"/>
          <w:color w:val="373D3F"/>
          <w:shd w:val="clear" w:color="auto" w:fill="FFFFFF"/>
          <w:lang w:eastAsia="fr-FR"/>
        </w:rPr>
        <w:t xml:space="preserve">« Être et race. Réflexions polémiques sur la </w:t>
      </w:r>
      <w:proofErr w:type="spellStart"/>
      <w:r w:rsidRPr="0067373D">
        <w:rPr>
          <w:rFonts w:eastAsia="Times New Roman"/>
          <w:color w:val="373D3F"/>
          <w:shd w:val="clear" w:color="auto" w:fill="FFFFFF"/>
          <w:lang w:eastAsia="fr-FR"/>
        </w:rPr>
        <w:t>colonialité</w:t>
      </w:r>
      <w:proofErr w:type="spellEnd"/>
      <w:r w:rsidRPr="0067373D">
        <w:rPr>
          <w:rFonts w:eastAsia="Times New Roman"/>
          <w:color w:val="373D3F"/>
          <w:shd w:val="clear" w:color="auto" w:fill="FFFFFF"/>
          <w:lang w:eastAsia="fr-FR"/>
        </w:rPr>
        <w:t xml:space="preserve"> de l’être ». </w:t>
      </w:r>
      <w:r w:rsidRPr="0067373D">
        <w:rPr>
          <w:rFonts w:eastAsia="Times New Roman"/>
          <w:i/>
          <w:iCs/>
          <w:color w:val="373D3F"/>
          <w:shd w:val="clear" w:color="auto" w:fill="FFFFFF"/>
          <w:lang w:eastAsia="fr-FR"/>
        </w:rPr>
        <w:t xml:space="preserve">Revue d’études </w:t>
      </w:r>
      <w:proofErr w:type="spellStart"/>
      <w:r w:rsidRPr="0067373D">
        <w:rPr>
          <w:rFonts w:eastAsia="Times New Roman"/>
          <w:i/>
          <w:iCs/>
          <w:color w:val="373D3F"/>
          <w:shd w:val="clear" w:color="auto" w:fill="FFFFFF"/>
          <w:lang w:eastAsia="fr-FR"/>
        </w:rPr>
        <w:t>décoloniales</w:t>
      </w:r>
      <w:proofErr w:type="spellEnd"/>
      <w:r w:rsidRPr="0067373D">
        <w:rPr>
          <w:rFonts w:eastAsia="Times New Roman"/>
          <w:iCs/>
          <w:color w:val="373D3F"/>
          <w:shd w:val="clear" w:color="auto" w:fill="FFFFFF"/>
          <w:lang w:eastAsia="fr-FR"/>
        </w:rPr>
        <w:t>, n</w:t>
      </w:r>
      <w:r w:rsidRPr="0067373D">
        <w:rPr>
          <w:rFonts w:eastAsia="Times New Roman"/>
          <w:iCs/>
          <w:color w:val="373D3F"/>
          <w:shd w:val="clear" w:color="auto" w:fill="FFFFFF"/>
          <w:vertAlign w:val="superscript"/>
          <w:lang w:eastAsia="fr-FR"/>
        </w:rPr>
        <w:t xml:space="preserve">o </w:t>
      </w:r>
      <w:r w:rsidRPr="0067373D">
        <w:rPr>
          <w:rFonts w:eastAsia="Times New Roman"/>
          <w:vertAlign w:val="superscript"/>
          <w:lang w:eastAsia="fr-FR"/>
        </w:rPr>
        <w:t xml:space="preserve">1 </w:t>
      </w:r>
      <w:r w:rsidRPr="0067373D">
        <w:rPr>
          <w:rFonts w:eastAsia="Times New Roman"/>
          <w:lang w:eastAsia="fr-FR"/>
        </w:rPr>
        <w:t xml:space="preserve">1, 2016, p. 87-100 </w:t>
      </w:r>
    </w:p>
  </w:footnote>
  <w:footnote w:id="5">
    <w:p w14:paraId="4ADD6BBC" w14:textId="77777777" w:rsidR="00E467A2" w:rsidRPr="00057471" w:rsidRDefault="00E467A2" w:rsidP="00E467A2">
      <w:pPr>
        <w:pStyle w:val="Notedebasdepage"/>
      </w:pPr>
      <w:r w:rsidRPr="00057471">
        <w:rPr>
          <w:rStyle w:val="Appelnotedebasdep"/>
          <w:rFonts w:ascii="Book Antiqua" w:hAnsi="Book Antiqua"/>
          <w:sz w:val="22"/>
          <w:szCs w:val="22"/>
        </w:rPr>
        <w:footnoteRef/>
      </w:r>
      <w:r w:rsidRPr="00057471">
        <w:t xml:space="preserve"> Enrique </w:t>
      </w:r>
      <w:proofErr w:type="spellStart"/>
      <w:r w:rsidRPr="00057471">
        <w:t>Dussel</w:t>
      </w:r>
      <w:proofErr w:type="spellEnd"/>
      <w:r w:rsidRPr="00057471">
        <w:t xml:space="preserve">, </w:t>
      </w:r>
      <w:r w:rsidRPr="00057471">
        <w:rPr>
          <w:rFonts w:eastAsia="Cambria" w:cs="Cambria"/>
          <w:i/>
          <w:color w:val="383838"/>
          <w:highlight w:val="white"/>
        </w:rPr>
        <w:t>1492,</w:t>
      </w:r>
      <w:r w:rsidRPr="00057471">
        <w:rPr>
          <w:rFonts w:eastAsia="Cambria" w:cs="Cambria"/>
          <w:color w:val="383838"/>
          <w:highlight w:val="white"/>
        </w:rPr>
        <w:t xml:space="preserve"> </w:t>
      </w:r>
      <w:r w:rsidRPr="00057471">
        <w:rPr>
          <w:rFonts w:eastAsia="Cambria" w:cs="Cambria"/>
          <w:i/>
          <w:color w:val="383838"/>
          <w:highlight w:val="white"/>
        </w:rPr>
        <w:t>L’occultation de l’autre</w:t>
      </w:r>
      <w:r w:rsidRPr="00057471">
        <w:rPr>
          <w:rFonts w:eastAsia="Cambria" w:cs="Cambria"/>
          <w:color w:val="383838"/>
          <w:highlight w:val="white"/>
        </w:rPr>
        <w:t>, Les éditions ouvrières, 1992, p. 56</w:t>
      </w:r>
      <w:r w:rsidRPr="00057471">
        <w:rPr>
          <w:rFonts w:eastAsia="Cambria" w:cs="Cambria"/>
          <w:color w:val="383838"/>
        </w:rPr>
        <w:t>.</w:t>
      </w:r>
    </w:p>
  </w:footnote>
  <w:footnote w:id="6">
    <w:p w14:paraId="2B7ADD7F" w14:textId="77777777" w:rsidR="00E467A2" w:rsidRPr="00057471" w:rsidRDefault="00E467A2" w:rsidP="00E467A2">
      <w:pPr>
        <w:pStyle w:val="Notedebasdepage"/>
      </w:pPr>
      <w:r w:rsidRPr="00057471">
        <w:rPr>
          <w:rStyle w:val="Appelnotedebasdep"/>
          <w:rFonts w:ascii="Book Antiqua" w:hAnsi="Book Antiqua"/>
          <w:sz w:val="22"/>
          <w:szCs w:val="22"/>
        </w:rPr>
        <w:footnoteRef/>
      </w:r>
      <w:r w:rsidRPr="00057471">
        <w:t xml:space="preserve"> </w:t>
      </w:r>
      <w:r w:rsidRPr="00057471">
        <w:rPr>
          <w:i/>
        </w:rPr>
        <w:t>Ibid.</w:t>
      </w:r>
      <w:r w:rsidRPr="00057471">
        <w:t>, p. 5.</w:t>
      </w:r>
    </w:p>
  </w:footnote>
  <w:footnote w:id="7">
    <w:p w14:paraId="23900E94" w14:textId="77777777" w:rsidR="00E467A2" w:rsidRPr="0067373D" w:rsidRDefault="00E467A2" w:rsidP="00E467A2">
      <w:pPr>
        <w:pStyle w:val="Notedebasdepage"/>
        <w:rPr>
          <w:rFonts w:eastAsia="Times New Roman"/>
        </w:rPr>
      </w:pPr>
      <w:r w:rsidRPr="0067373D">
        <w:rPr>
          <w:rStyle w:val="Appelnotedebasdep"/>
          <w:rFonts w:ascii="Book Antiqua" w:hAnsi="Book Antiqua"/>
          <w:sz w:val="22"/>
          <w:szCs w:val="22"/>
        </w:rPr>
        <w:footnoteRef/>
      </w:r>
      <w:r w:rsidRPr="0067373D">
        <w:t xml:space="preserve"> De cet auteur, on lira </w:t>
      </w:r>
      <w:r w:rsidRPr="0067373D">
        <w:rPr>
          <w:rFonts w:eastAsia="Times New Roman"/>
          <w:i/>
          <w:iCs/>
          <w:color w:val="373D3F"/>
          <w:shd w:val="clear" w:color="auto" w:fill="FFFFFF"/>
          <w:lang w:eastAsia="fr-FR"/>
        </w:rPr>
        <w:t>Épistémologies du Sud. Mouvements citoyens et polémique sur la science</w:t>
      </w:r>
      <w:r w:rsidRPr="0067373D">
        <w:rPr>
          <w:rFonts w:eastAsia="Times New Roman"/>
          <w:iCs/>
          <w:color w:val="373D3F"/>
          <w:shd w:val="clear" w:color="auto" w:fill="FFFFFF"/>
          <w:lang w:eastAsia="fr-FR"/>
        </w:rPr>
        <w:t>,</w:t>
      </w:r>
      <w:r w:rsidRPr="0067373D">
        <w:rPr>
          <w:rFonts w:eastAsia="Times New Roman"/>
          <w:i/>
          <w:iCs/>
          <w:color w:val="373D3F"/>
          <w:shd w:val="clear" w:color="auto" w:fill="FFFFFF"/>
          <w:lang w:eastAsia="fr-FR"/>
        </w:rPr>
        <w:t> </w:t>
      </w:r>
      <w:r w:rsidRPr="0067373D">
        <w:rPr>
          <w:rFonts w:eastAsia="Times New Roman"/>
          <w:color w:val="373D3F"/>
          <w:shd w:val="clear" w:color="auto" w:fill="FFFFFF"/>
          <w:lang w:eastAsia="fr-FR"/>
        </w:rPr>
        <w:t>Paris,</w:t>
      </w:r>
      <w:r>
        <w:rPr>
          <w:rFonts w:eastAsia="Times New Roman"/>
          <w:color w:val="373D3F"/>
          <w:shd w:val="clear" w:color="auto" w:fill="FFFFFF"/>
          <w:lang w:eastAsia="fr-FR"/>
        </w:rPr>
        <w:t xml:space="preserve"> </w:t>
      </w:r>
      <w:r w:rsidRPr="0067373D">
        <w:rPr>
          <w:rFonts w:eastAsia="Times New Roman"/>
          <w:color w:val="373D3F"/>
          <w:shd w:val="clear" w:color="auto" w:fill="FFFFFF"/>
          <w:lang w:eastAsia="fr-FR"/>
        </w:rPr>
        <w:t>Desclée de Brouwer, 2017.</w:t>
      </w:r>
      <w:r w:rsidRPr="0067373D">
        <w:t xml:space="preserve"> </w:t>
      </w:r>
    </w:p>
  </w:footnote>
  <w:footnote w:id="8">
    <w:p w14:paraId="688C1B81" w14:textId="77777777" w:rsidR="00E467A2" w:rsidRPr="005559D3" w:rsidRDefault="00E467A2" w:rsidP="00E467A2">
      <w:pPr>
        <w:pStyle w:val="Notedebasdepage"/>
      </w:pPr>
      <w:r w:rsidRPr="005559D3">
        <w:rPr>
          <w:rStyle w:val="Appelnotedebasdep"/>
          <w:rFonts w:ascii="Book Antiqua" w:hAnsi="Book Antiqua"/>
          <w:sz w:val="22"/>
          <w:szCs w:val="22"/>
        </w:rPr>
        <w:footnoteRef/>
      </w:r>
      <w:r w:rsidRPr="005559D3">
        <w:t xml:space="preserve"> </w:t>
      </w:r>
      <w:proofErr w:type="spellStart"/>
      <w:r w:rsidRPr="005559D3">
        <w:rPr>
          <w:rFonts w:eastAsia="Cambria" w:cs="Cambria"/>
          <w:color w:val="000000"/>
        </w:rPr>
        <w:t>Dussel</w:t>
      </w:r>
      <w:proofErr w:type="spellEnd"/>
      <w:r w:rsidRPr="005559D3">
        <w:rPr>
          <w:rFonts w:eastAsia="Cambria" w:cs="Cambria"/>
          <w:color w:val="000000"/>
        </w:rPr>
        <w:t xml:space="preserve"> parle de </w:t>
      </w:r>
      <w:proofErr w:type="spellStart"/>
      <w:r w:rsidRPr="000751FB">
        <w:rPr>
          <w:rFonts w:eastAsia="Cambria" w:cs="Cambria"/>
          <w:i/>
          <w:color w:val="000000"/>
        </w:rPr>
        <w:t>transmodernité</w:t>
      </w:r>
      <w:proofErr w:type="spellEnd"/>
      <w:r w:rsidRPr="000751FB">
        <w:rPr>
          <w:rFonts w:eastAsia="Cambria" w:cs="Cambria"/>
          <w:color w:val="000000"/>
        </w:rPr>
        <w:t xml:space="preserve"> en tant que projet d’appréhension de la modernité depuis son extériorité relative.</w:t>
      </w:r>
      <w:r w:rsidRPr="0070300F">
        <w:rPr>
          <w:rFonts w:eastAsia="Cambria" w:cs="Cambria"/>
          <w:color w:val="000000"/>
        </w:rPr>
        <w:t xml:space="preserve"> </w:t>
      </w:r>
      <w:r w:rsidRPr="00DC0730">
        <w:rPr>
          <w:rFonts w:eastAsia="Cambria" w:cs="Cambria"/>
          <w:color w:val="000000"/>
        </w:rPr>
        <w:t>V</w:t>
      </w:r>
      <w:r w:rsidRPr="005559D3">
        <w:rPr>
          <w:rFonts w:eastAsia="Cambria" w:cs="Cambria"/>
          <w:color w:val="000000"/>
        </w:rPr>
        <w:t>oir son article, « </w:t>
      </w:r>
      <w:proofErr w:type="spellStart"/>
      <w:r w:rsidRPr="005559D3">
        <w:rPr>
          <w:rFonts w:eastAsia="Cambria" w:cs="Cambria"/>
          <w:color w:val="000000"/>
        </w:rPr>
        <w:t>Transmodernité</w:t>
      </w:r>
      <w:proofErr w:type="spellEnd"/>
      <w:r w:rsidRPr="005559D3">
        <w:rPr>
          <w:rFonts w:eastAsia="Cambria" w:cs="Cambria"/>
          <w:color w:val="000000"/>
        </w:rPr>
        <w:t xml:space="preserve"> et interculturalité (une interprétation de la philosophie de la libération » </w:t>
      </w:r>
      <w:r w:rsidRPr="005559D3">
        <w:rPr>
          <w:rFonts w:eastAsia="Cambria" w:cs="Cambria"/>
          <w:i/>
          <w:color w:val="000000"/>
        </w:rPr>
        <w:t xml:space="preserve">in </w:t>
      </w:r>
      <w:r w:rsidRPr="005559D3">
        <w:rPr>
          <w:rFonts w:eastAsia="Times New Roman"/>
          <w:color w:val="373D3F"/>
          <w:shd w:val="clear" w:color="auto" w:fill="FFFFFF"/>
        </w:rPr>
        <w:t xml:space="preserve">Claude Bourguignon Rougier, Philippe Colin et </w:t>
      </w:r>
      <w:proofErr w:type="spellStart"/>
      <w:r w:rsidRPr="005559D3">
        <w:rPr>
          <w:rFonts w:eastAsia="Times New Roman"/>
          <w:color w:val="373D3F"/>
          <w:shd w:val="clear" w:color="auto" w:fill="FFFFFF"/>
        </w:rPr>
        <w:t>Ramón</w:t>
      </w:r>
      <w:proofErr w:type="spellEnd"/>
      <w:r w:rsidRPr="005559D3">
        <w:rPr>
          <w:rFonts w:eastAsia="Times New Roman"/>
          <w:color w:val="373D3F"/>
          <w:shd w:val="clear" w:color="auto" w:fill="FFFFFF"/>
        </w:rPr>
        <w:t xml:space="preserve"> </w:t>
      </w:r>
      <w:proofErr w:type="spellStart"/>
      <w:r w:rsidRPr="005559D3">
        <w:rPr>
          <w:rFonts w:eastAsia="Times New Roman"/>
          <w:color w:val="373D3F"/>
          <w:shd w:val="clear" w:color="auto" w:fill="FFFFFF"/>
        </w:rPr>
        <w:t>Grosfoguel</w:t>
      </w:r>
      <w:proofErr w:type="spellEnd"/>
      <w:r w:rsidRPr="005559D3">
        <w:rPr>
          <w:rFonts w:eastAsia="Times New Roman"/>
          <w:color w:val="373D3F"/>
          <w:shd w:val="clear" w:color="auto" w:fill="FFFFFF"/>
        </w:rPr>
        <w:t xml:space="preserve"> (</w:t>
      </w:r>
      <w:proofErr w:type="spellStart"/>
      <w:r w:rsidRPr="005559D3">
        <w:rPr>
          <w:rFonts w:eastAsia="Times New Roman"/>
          <w:color w:val="373D3F"/>
          <w:shd w:val="clear" w:color="auto" w:fill="FFFFFF"/>
        </w:rPr>
        <w:t>dir</w:t>
      </w:r>
      <w:proofErr w:type="spellEnd"/>
      <w:r w:rsidRPr="005559D3">
        <w:rPr>
          <w:rFonts w:eastAsia="Times New Roman"/>
          <w:color w:val="373D3F"/>
          <w:shd w:val="clear" w:color="auto" w:fill="FFFFFF"/>
        </w:rPr>
        <w:t xml:space="preserve">.), </w:t>
      </w:r>
      <w:r w:rsidRPr="005559D3">
        <w:rPr>
          <w:rFonts w:eastAsia="Times New Roman"/>
          <w:i/>
          <w:color w:val="373D3F"/>
          <w:shd w:val="clear" w:color="auto" w:fill="FFFFFF"/>
        </w:rPr>
        <w:t xml:space="preserve">op. </w:t>
      </w:r>
      <w:proofErr w:type="spellStart"/>
      <w:proofErr w:type="gramStart"/>
      <w:r w:rsidRPr="005559D3">
        <w:rPr>
          <w:rFonts w:eastAsia="Times New Roman"/>
          <w:i/>
          <w:color w:val="373D3F"/>
          <w:shd w:val="clear" w:color="auto" w:fill="FFFFFF"/>
        </w:rPr>
        <w:t>cit</w:t>
      </w:r>
      <w:proofErr w:type="spellEnd"/>
      <w:proofErr w:type="gramEnd"/>
      <w:r w:rsidRPr="005559D3">
        <w:rPr>
          <w:rFonts w:eastAsia="Times New Roman"/>
          <w:i/>
          <w:color w:val="373D3F"/>
          <w:shd w:val="clear" w:color="auto" w:fill="FFFFFF"/>
        </w:rPr>
        <w:t>.</w:t>
      </w:r>
      <w:r w:rsidRPr="005559D3">
        <w:rPr>
          <w:rFonts w:eastAsia="Times New Roman"/>
          <w:color w:val="373D3F"/>
          <w:shd w:val="clear" w:color="auto" w:fill="FFFFFF"/>
        </w:rPr>
        <w:t>, p. 177-209.</w:t>
      </w:r>
    </w:p>
  </w:footnote>
  <w:footnote w:id="9">
    <w:p w14:paraId="6208189A" w14:textId="77777777" w:rsidR="00E467A2" w:rsidRPr="005559D3" w:rsidRDefault="00E467A2" w:rsidP="00E467A2">
      <w:pPr>
        <w:pStyle w:val="Notedebasdepage"/>
        <w:rPr>
          <w:lang w:eastAsia="fr-FR"/>
        </w:rPr>
      </w:pPr>
      <w:r w:rsidRPr="006A6AF7">
        <w:rPr>
          <w:rStyle w:val="Appelnotedebasdep"/>
          <w:rFonts w:ascii="Book Antiqua" w:hAnsi="Book Antiqua"/>
          <w:sz w:val="22"/>
          <w:szCs w:val="22"/>
        </w:rPr>
        <w:footnoteRef/>
      </w:r>
      <w:r w:rsidRPr="006A6AF7">
        <w:t xml:space="preserve"> </w:t>
      </w:r>
      <w:r w:rsidRPr="006A6AF7">
        <w:rPr>
          <w:rFonts w:cs="Times"/>
        </w:rPr>
        <w:t>Santiago Castro-Gomez</w:t>
      </w:r>
      <w:r w:rsidRPr="006A6AF7">
        <w:t>, « Le chapitre manquant d’</w:t>
      </w:r>
      <w:r w:rsidRPr="006A6AF7">
        <w:rPr>
          <w:i/>
        </w:rPr>
        <w:t>Empire</w:t>
      </w:r>
      <w:r w:rsidRPr="006A6AF7">
        <w:t xml:space="preserve">. La réorganisation postmoderne de la colonisation dans le capitalisme postfordiste », </w:t>
      </w:r>
      <w:r w:rsidRPr="005559D3">
        <w:rPr>
          <w:i/>
        </w:rPr>
        <w:t>Multitudes</w:t>
      </w:r>
      <w:r w:rsidRPr="005559D3">
        <w:t xml:space="preserve">, n° 26, automne 2006, p. 27-49. </w:t>
      </w:r>
      <w:r w:rsidRPr="005559D3">
        <w:rPr>
          <w:lang w:eastAsia="fr-FR"/>
        </w:rPr>
        <w:t>http://multitudes.samizdat.net/spip.php?article2673</w:t>
      </w:r>
    </w:p>
  </w:footnote>
  <w:footnote w:id="10">
    <w:p w14:paraId="6BA4A5A2" w14:textId="77777777" w:rsidR="00E467A2" w:rsidRPr="006A6AF7" w:rsidRDefault="00E467A2" w:rsidP="00E467A2">
      <w:pPr>
        <w:pStyle w:val="Notedebasdepage"/>
      </w:pPr>
      <w:r w:rsidRPr="00057471">
        <w:rPr>
          <w:rStyle w:val="Appelnotedebasdep"/>
          <w:rFonts w:ascii="Book Antiqua" w:hAnsi="Book Antiqua"/>
          <w:sz w:val="22"/>
          <w:szCs w:val="22"/>
        </w:rPr>
        <w:footnoteRef/>
      </w:r>
      <w:r w:rsidRPr="00057471">
        <w:t xml:space="preserve"> </w:t>
      </w:r>
      <w:r w:rsidRPr="00057471">
        <w:rPr>
          <w:rFonts w:eastAsia="Times New Roman"/>
        </w:rPr>
        <w:t xml:space="preserve">Richard </w:t>
      </w:r>
      <w:proofErr w:type="spellStart"/>
      <w:r w:rsidRPr="00057471">
        <w:rPr>
          <w:rFonts w:eastAsia="Times New Roman"/>
        </w:rPr>
        <w:t>Rorty</w:t>
      </w:r>
      <w:proofErr w:type="spellEnd"/>
      <w:r w:rsidRPr="00057471">
        <w:rPr>
          <w:rFonts w:eastAsia="Times New Roman"/>
        </w:rPr>
        <w:t xml:space="preserve">, </w:t>
      </w:r>
      <w:r w:rsidRPr="00057471">
        <w:rPr>
          <w:rFonts w:eastAsia="Times New Roman"/>
          <w:i/>
        </w:rPr>
        <w:t>L’Homme spéculaire</w:t>
      </w:r>
      <w:r w:rsidRPr="006A6AF7">
        <w:rPr>
          <w:rFonts w:eastAsia="Times New Roman"/>
        </w:rPr>
        <w:t>, Éditions du Seuil, 1990.</w:t>
      </w:r>
    </w:p>
  </w:footnote>
  <w:footnote w:id="11">
    <w:p w14:paraId="267321F4" w14:textId="77777777" w:rsidR="00E467A2" w:rsidRPr="005559D3" w:rsidRDefault="00E467A2" w:rsidP="00E467A2">
      <w:pPr>
        <w:pStyle w:val="Notedebasdepage"/>
      </w:pPr>
      <w:r w:rsidRPr="00057471">
        <w:rPr>
          <w:rStyle w:val="Appelnotedebasdep"/>
          <w:rFonts w:ascii="Book Antiqua" w:hAnsi="Book Antiqua"/>
          <w:sz w:val="22"/>
          <w:szCs w:val="22"/>
        </w:rPr>
        <w:footnoteRef/>
      </w:r>
      <w:r w:rsidRPr="00057471">
        <w:t xml:space="preserve"> Antoine </w:t>
      </w:r>
      <w:proofErr w:type="spellStart"/>
      <w:r w:rsidRPr="006A6AF7">
        <w:t>Lilti</w:t>
      </w:r>
      <w:proofErr w:type="spellEnd"/>
      <w:r w:rsidRPr="006A6AF7">
        <w:t xml:space="preserve">, « Pluraliser les Lumières est la condition même de leur universalisation », </w:t>
      </w:r>
      <w:r w:rsidRPr="006A6AF7">
        <w:rPr>
          <w:i/>
        </w:rPr>
        <w:t>Le Monde</w:t>
      </w:r>
      <w:r w:rsidRPr="006A6AF7">
        <w:t>, 9-12-2022.</w:t>
      </w:r>
    </w:p>
  </w:footnote>
  <w:footnote w:id="12">
    <w:p w14:paraId="29EA48E9" w14:textId="77777777" w:rsidR="00E467A2" w:rsidRPr="008F3686" w:rsidRDefault="00E467A2" w:rsidP="00E467A2">
      <w:pPr>
        <w:pStyle w:val="Notedebasdepage"/>
      </w:pPr>
      <w:r w:rsidRPr="00057471">
        <w:rPr>
          <w:rStyle w:val="Appelnotedebasdep"/>
          <w:rFonts w:ascii="Book Antiqua" w:hAnsi="Book Antiqua"/>
          <w:sz w:val="22"/>
          <w:szCs w:val="22"/>
        </w:rPr>
        <w:footnoteRef/>
      </w:r>
      <w:r w:rsidRPr="00057471">
        <w:t xml:space="preserve"> Les conditions de cette direction sont énoncées très précisément, et avec un optimisme raisonnable que</w:t>
      </w:r>
      <w:r w:rsidRPr="008F3686">
        <w:t xml:space="preserve"> nous partageons, dans les dernières pages de l’ouvrage (p. 87-92).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3ED0" w14:textId="77777777" w:rsidR="007A1268" w:rsidRDefault="007A1268" w:rsidP="007A1268">
    <w:pPr>
      <w:pStyle w:val="En-tte"/>
      <w:jc w:val="both"/>
    </w:pPr>
    <w:r w:rsidRPr="007A1268">
      <w:rPr>
        <w:noProof/>
      </w:rPr>
      <w:drawing>
        <wp:inline distT="0" distB="0" distL="0" distR="0" wp14:anchorId="3ADFB488" wp14:editId="331DAAEF">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8915668">
    <w:abstractNumId w:val="12"/>
  </w:num>
  <w:num w:numId="2" w16cid:durableId="1771004242">
    <w:abstractNumId w:val="11"/>
  </w:num>
  <w:num w:numId="3" w16cid:durableId="993535245">
    <w:abstractNumId w:val="0"/>
  </w:num>
  <w:num w:numId="4" w16cid:durableId="469203887">
    <w:abstractNumId w:val="5"/>
  </w:num>
  <w:num w:numId="5" w16cid:durableId="506094934">
    <w:abstractNumId w:val="6"/>
  </w:num>
  <w:num w:numId="6" w16cid:durableId="1566530350">
    <w:abstractNumId w:val="7"/>
  </w:num>
  <w:num w:numId="7" w16cid:durableId="759983414">
    <w:abstractNumId w:val="8"/>
  </w:num>
  <w:num w:numId="8" w16cid:durableId="710806096">
    <w:abstractNumId w:val="10"/>
  </w:num>
  <w:num w:numId="9" w16cid:durableId="1140919028">
    <w:abstractNumId w:val="1"/>
  </w:num>
  <w:num w:numId="10" w16cid:durableId="598368499">
    <w:abstractNumId w:val="2"/>
  </w:num>
  <w:num w:numId="11" w16cid:durableId="1616984205">
    <w:abstractNumId w:val="3"/>
  </w:num>
  <w:num w:numId="12" w16cid:durableId="780804397">
    <w:abstractNumId w:val="4"/>
  </w:num>
  <w:num w:numId="13" w16cid:durableId="19679244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C6572"/>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17B5"/>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C7C3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B67CA"/>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467A2"/>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8647"/>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Footnotes"/>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Footnotes Car"/>
    <w:basedOn w:val="Policepardfaut"/>
    <w:link w:val="Notedebasdepage"/>
    <w:qFormat/>
    <w:rsid w:val="00961394"/>
    <w:rPr>
      <w:rFonts w:ascii="Adobe Caslon Pro" w:hAnsi="Adobe Caslon Pro"/>
      <w:lang w:eastAsia="en-US"/>
    </w:rPr>
  </w:style>
  <w:style w:type="character" w:styleId="Appelnotedebasdep">
    <w:name w:val="footnote reference"/>
    <w:aliases w:val="Note de bas de page Car1,NO note de bas de p.,Titre 1 Car1,CG Appel note de bas page,Appel de notes en bas de page"/>
    <w:basedOn w:val="Policepardfaut"/>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paragraph" w:customStyle="1" w:styleId="Normal1">
    <w:name w:val="Normal1"/>
    <w:rsid w:val="00E467A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4"/>
      <w:szCs w:val="24"/>
      <w:bdr w:val="none" w:sz="0" w:space="0" w:color="auto"/>
    </w:rPr>
  </w:style>
  <w:style w:type="character" w:customStyle="1" w:styleId="TextecourantsansalinaCar">
    <w:name w:val="Texte_courant sans alinéa Car"/>
    <w:basedOn w:val="Policepardfaut"/>
    <w:rsid w:val="00E467A2"/>
    <w:rPr>
      <w:rFonts w:ascii="Times" w:hAnsi="Times"/>
      <w:noProof w:val="0"/>
      <w:sz w:val="28"/>
      <w:szCs w:val="28"/>
      <w:lang w:val="en-US"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07FC03-21B2-194A-9035-6F5E226F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1754</Words>
  <Characters>9648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2023-01-04T08:04:00Z</dcterms:created>
  <dcterms:modified xsi:type="dcterms:W3CDTF">2023-01-04T08:04:00Z</dcterms:modified>
</cp:coreProperties>
</file>