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35E748CF" w:rsidR="00E75C6B" w:rsidRDefault="00205CE5" w:rsidP="00E75C6B">
      <w:pPr>
        <w:pStyle w:val="VDITitre"/>
      </w:pPr>
      <w:r>
        <w:t>Mesurer l’environnement</w:t>
      </w:r>
    </w:p>
    <w:p w14:paraId="04E0FF79" w14:textId="15AA8355" w:rsidR="00205CE5" w:rsidRDefault="00205CE5" w:rsidP="00205CE5">
      <w:pPr>
        <w:pStyle w:val="VDISous-titre"/>
      </w:pPr>
    </w:p>
    <w:p w14:paraId="497D149E" w14:textId="30AEA87B" w:rsidR="00205CE5" w:rsidRPr="00205CE5" w:rsidRDefault="00205CE5" w:rsidP="00205CE5">
      <w:pPr>
        <w:pStyle w:val="VDISous-titre"/>
        <w:rPr>
          <w:sz w:val="24"/>
          <w:szCs w:val="24"/>
        </w:rPr>
      </w:pPr>
      <w:r>
        <w:rPr>
          <w:shd w:val="clear" w:color="auto" w:fill="FFFFFF"/>
        </w:rPr>
        <w:t>Entre richesse de la nature et dette écologique</w:t>
      </w:r>
    </w:p>
    <w:p w14:paraId="2C8EAE69" w14:textId="471152C2" w:rsidR="00E75C6B" w:rsidRPr="00770CEB" w:rsidRDefault="008B1967" w:rsidP="008F3232">
      <w:pPr>
        <w:pStyle w:val="VDIAuteur"/>
      </w:pPr>
      <w:proofErr w:type="gramStart"/>
      <w:r w:rsidRPr="00770CEB">
        <w:t>p</w:t>
      </w:r>
      <w:r w:rsidR="00E75C6B" w:rsidRPr="00770CEB">
        <w:t>ar</w:t>
      </w:r>
      <w:proofErr w:type="gramEnd"/>
      <w:r w:rsidR="00E75C6B" w:rsidRPr="00770CEB">
        <w:t xml:space="preserve"> </w:t>
      </w:r>
      <w:r w:rsidR="00770CEB" w:rsidRPr="00770CEB">
        <w:t>Harol</w:t>
      </w:r>
      <w:r w:rsidR="00770CEB">
        <w:t xml:space="preserve">d </w:t>
      </w:r>
      <w:proofErr w:type="spellStart"/>
      <w:r w:rsidR="00770CEB">
        <w:t>Levrel</w:t>
      </w:r>
      <w:proofErr w:type="spellEnd"/>
    </w:p>
    <w:p w14:paraId="0AABAF41" w14:textId="54E40F40" w:rsidR="00770CEB" w:rsidRPr="00205CE5" w:rsidRDefault="00770CEB" w:rsidP="00205CE5">
      <w:pPr>
        <w:pStyle w:val="VDIChapo"/>
      </w:pPr>
      <w:r>
        <w:t xml:space="preserve">L’environnement est devenu une préoccupation majeure, mais sa prise en compte dans des politiques économiques implique </w:t>
      </w:r>
      <w:proofErr w:type="spellStart"/>
      <w:r>
        <w:t>d’en</w:t>
      </w:r>
      <w:proofErr w:type="spellEnd"/>
      <w:r>
        <w:t xml:space="preserve"> </w:t>
      </w:r>
      <w:proofErr w:type="spellStart"/>
      <w:r>
        <w:t>proposer</w:t>
      </w:r>
      <w:proofErr w:type="spellEnd"/>
      <w:r>
        <w:t xml:space="preserve"> </w:t>
      </w:r>
      <w:proofErr w:type="spellStart"/>
      <w:r>
        <w:t>une</w:t>
      </w:r>
      <w:proofErr w:type="spellEnd"/>
      <w:r>
        <w:t xml:space="preserve"> </w:t>
      </w:r>
      <w:proofErr w:type="spellStart"/>
      <w:r>
        <w:t>forme</w:t>
      </w:r>
      <w:proofErr w:type="spellEnd"/>
      <w:r>
        <w:t xml:space="preserve"> de </w:t>
      </w:r>
      <w:proofErr w:type="spellStart"/>
      <w:r>
        <w:t>quantification</w:t>
      </w:r>
      <w:proofErr w:type="spellEnd"/>
      <w:r>
        <w:t xml:space="preserve"> – or, «</w:t>
      </w:r>
      <w:r>
        <w:rPr>
          <w:sz w:val="19"/>
          <w:szCs w:val="19"/>
          <w:bdr w:val="none" w:sz="0" w:space="0" w:color="auto" w:frame="1"/>
        </w:rPr>
        <w:t> </w:t>
      </w:r>
      <w:proofErr w:type="spellStart"/>
      <w:r>
        <w:t>mesurer</w:t>
      </w:r>
      <w:proofErr w:type="spellEnd"/>
      <w:r>
        <w:rPr>
          <w:sz w:val="19"/>
          <w:szCs w:val="19"/>
          <w:bdr w:val="none" w:sz="0" w:space="0" w:color="auto" w:frame="1"/>
        </w:rPr>
        <w:t> </w:t>
      </w:r>
      <w:r>
        <w:t xml:space="preserve">» </w:t>
      </w:r>
      <w:proofErr w:type="spellStart"/>
      <w:r>
        <w:t>l’environnement</w:t>
      </w:r>
      <w:proofErr w:type="spellEnd"/>
      <w:r>
        <w:t xml:space="preserve"> </w:t>
      </w:r>
      <w:proofErr w:type="spellStart"/>
      <w:r>
        <w:t>soulève</w:t>
      </w:r>
      <w:proofErr w:type="spellEnd"/>
      <w:r>
        <w:t xml:space="preserve"> de difficiles questions techniques, mais </w:t>
      </w:r>
      <w:proofErr w:type="spellStart"/>
      <w:r>
        <w:t>aussi</w:t>
      </w:r>
      <w:proofErr w:type="spellEnd"/>
      <w:r>
        <w:t xml:space="preserve"> </w:t>
      </w:r>
      <w:proofErr w:type="spellStart"/>
      <w:r>
        <w:t>d’importants</w:t>
      </w:r>
      <w:proofErr w:type="spellEnd"/>
      <w:r>
        <w:t xml:space="preserve"> </w:t>
      </w:r>
      <w:proofErr w:type="spellStart"/>
      <w:r>
        <w:t>choix</w:t>
      </w:r>
      <w:proofErr w:type="spellEnd"/>
      <w:r>
        <w:t xml:space="preserve"> </w:t>
      </w:r>
      <w:proofErr w:type="spellStart"/>
      <w:r>
        <w:t>politiques</w:t>
      </w:r>
      <w:proofErr w:type="spellEnd"/>
      <w:r>
        <w:t xml:space="preserve"> et </w:t>
      </w:r>
      <w:proofErr w:type="spellStart"/>
      <w:r>
        <w:t>sociaux</w:t>
      </w:r>
      <w:proofErr w:type="spellEnd"/>
      <w:r>
        <w:t>.</w:t>
      </w:r>
    </w:p>
    <w:p w14:paraId="7A21EAD5" w14:textId="4C29EF8D" w:rsidR="00770CEB" w:rsidRPr="00205CE5" w:rsidRDefault="00770CEB" w:rsidP="00205CE5">
      <w:pPr>
        <w:pStyle w:val="VDIIntertitre"/>
      </w:pPr>
      <w:r w:rsidRPr="001642A0">
        <w:t>Intr</w:t>
      </w:r>
      <w:r w:rsidR="00205CE5">
        <w:t>o</w:t>
      </w:r>
      <w:r w:rsidRPr="001642A0">
        <w:t xml:space="preserve">duction </w:t>
      </w:r>
    </w:p>
    <w:p w14:paraId="023AEEC9" w14:textId="30E737C4" w:rsidR="00770CEB" w:rsidRDefault="00770CEB" w:rsidP="00770CEB">
      <w:pPr>
        <w:pStyle w:val="Corps"/>
      </w:pPr>
      <w:r w:rsidRPr="00DE3529">
        <w:t>Il est aujourd’hui largement reconnu que la Nature est une source de richesse pour nos sociétés</w:t>
      </w:r>
      <w:r>
        <w:t>.</w:t>
      </w:r>
      <w:r w:rsidRPr="00DE3529">
        <w:t xml:space="preserve"> </w:t>
      </w:r>
      <w:r>
        <w:t>Mais l</w:t>
      </w:r>
      <w:r w:rsidRPr="00DE3529">
        <w:t xml:space="preserve">a manière dont cette richesse peut être mesurée est un sujet complexe, en particulier dans nos sociétés occidentales où </w:t>
      </w:r>
      <w:r>
        <w:t>cette dernière</w:t>
      </w:r>
      <w:r w:rsidRPr="00DE3529">
        <w:t xml:space="preserve"> est appréhendée principalement à l’aune d’indicateurs économiques issus de la comptabilité nationale. </w:t>
      </w:r>
      <w:r>
        <w:t>Or la richesse de</w:t>
      </w:r>
      <w:r w:rsidRPr="00DE3529">
        <w:t xml:space="preserve"> la biodiversité est composée d’une grande diversité d’entités très hétérogènes et renvoie à une multitude d’usages directs ou indirects, marchands ou non marchands. Cette difficulté a été souligné</w:t>
      </w:r>
      <w:r>
        <w:t>e</w:t>
      </w:r>
      <w:r w:rsidRPr="00DE3529">
        <w:t xml:space="preserve"> par les économistes tout </w:t>
      </w:r>
      <w:r>
        <w:t>comme</w:t>
      </w:r>
      <w:r w:rsidRPr="00DE3529">
        <w:t xml:space="preserve"> les comptables nationaux en charge de mesurer la richesse d’un pays</w:t>
      </w:r>
      <w:r w:rsidRPr="00DE3529">
        <w:rPr>
          <w:rStyle w:val="Appelnotedebasdep"/>
          <w:color w:val="000000" w:themeColor="text1"/>
        </w:rPr>
        <w:footnoteReference w:id="1"/>
      </w:r>
      <w:r w:rsidRPr="00DE3529">
        <w:t xml:space="preserve">. Le rapport Stiglitz, Sen, Fitoussi, sur la mesure de la performance économique et du progrès social, commandé par le gouvernement français, </w:t>
      </w:r>
      <w:r>
        <w:t>dit ainsi</w:t>
      </w:r>
      <w:r w:rsidRPr="00DE3529">
        <w:t> (2008, p.</w:t>
      </w:r>
      <w:r w:rsidR="00205CE5">
        <w:t> </w:t>
      </w:r>
      <w:r w:rsidRPr="00DE3529">
        <w:t>20)</w:t>
      </w:r>
      <w:r>
        <w:t xml:space="preserve"> </w:t>
      </w:r>
      <w:r w:rsidRPr="00DE3529">
        <w:t xml:space="preserve">: « il est souvent difficile d’attribuer à l’environnement naturel une valeur </w:t>
      </w:r>
      <w:proofErr w:type="spellStart"/>
      <w:r w:rsidRPr="00DE3529">
        <w:t>monétaire</w:t>
      </w:r>
      <w:proofErr w:type="spellEnd"/>
      <w:r w:rsidRPr="00DE3529">
        <w:t xml:space="preserve"> ; des ensembles distincts d’indicateurs physiques seront donc </w:t>
      </w:r>
      <w:r w:rsidRPr="00DE3529">
        <w:lastRenderedPageBreak/>
        <w:t>nécessaires pour en suivre l’évolution ». Ainsi, la Loi n° 2015-411 du 13 avril 2015 visant à la prise en compte des nouveaux indicateurs de richesse consacre une approche en termes de « tableau de bord » où une diversité d’indicateurs « cohabitent » pour guider l’action publique</w:t>
      </w:r>
      <w:r>
        <w:t>, plutôt qu’un indicateur de type « PIB vert »</w:t>
      </w:r>
      <w:r w:rsidRPr="00DE3529">
        <w:t>. Mais l’évaluation monétaire de la biodiversité n’a pas été totalement abandonnée par l’État puisque</w:t>
      </w:r>
      <w:r>
        <w:t>,</w:t>
      </w:r>
      <w:r w:rsidRPr="00DE3529">
        <w:t xml:space="preserve"> depuis la Loi du 31 </w:t>
      </w:r>
      <w:proofErr w:type="spellStart"/>
      <w:r w:rsidRPr="00DE3529">
        <w:t>décembre</w:t>
      </w:r>
      <w:proofErr w:type="spellEnd"/>
      <w:r w:rsidRPr="00DE3529">
        <w:t xml:space="preserve"> 2012 de programmation des finances publiques, tout grand projet d’investissement public, </w:t>
      </w:r>
      <w:r>
        <w:t>d’un montant</w:t>
      </w:r>
      <w:r w:rsidRPr="00DE3529">
        <w:t xml:space="preserve"> supérieur à 20 millions d’</w:t>
      </w:r>
      <w:r w:rsidR="00205CE5">
        <w:t>e</w:t>
      </w:r>
      <w:r w:rsidRPr="00DE3529">
        <w:t>uros, doit réaliser une évaluation socioéconomique</w:t>
      </w:r>
      <w:r w:rsidRPr="00DE3529">
        <w:rPr>
          <w:rStyle w:val="Appelnotedebasdep"/>
          <w:color w:val="000000" w:themeColor="text1"/>
        </w:rPr>
        <w:footnoteReference w:id="2"/>
      </w:r>
      <w:r w:rsidRPr="00DE3529">
        <w:t xml:space="preserve"> du projet, en intégrant les externalités positives et négatives de ce dernier</w:t>
      </w:r>
      <w:r>
        <w:t xml:space="preserve">, </w:t>
      </w:r>
      <w:r w:rsidRPr="00DE3529">
        <w:t xml:space="preserve">et </w:t>
      </w:r>
      <w:r>
        <w:t>parmi elles</w:t>
      </w:r>
      <w:r w:rsidRPr="00DE3529">
        <w:t xml:space="preserve"> les impacts sur la biodiversité.</w:t>
      </w:r>
    </w:p>
    <w:p w14:paraId="29E73CCF" w14:textId="0F1BE572" w:rsidR="00770CEB" w:rsidRPr="00DE3529" w:rsidRDefault="00770CEB" w:rsidP="00770CEB">
      <w:pPr>
        <w:pStyle w:val="Corps"/>
      </w:pPr>
      <w:r>
        <w:t>Cet essai vise à souligner qu’il est peut-être intéressant de passer d’une vision d’économie financière qui consiste à vouloir estimer les richesses économiques fourni</w:t>
      </w:r>
      <w:r w:rsidR="00754EA9">
        <w:t>e</w:t>
      </w:r>
      <w:r>
        <w:t xml:space="preserve">s par la biodiversité à une vision comptable qui cherche à rendre visible la dette écologique que notre système économique génère. </w:t>
      </w:r>
    </w:p>
    <w:p w14:paraId="5BCACBA6" w14:textId="55D33DAC" w:rsidR="00770CEB" w:rsidRPr="00205CE5" w:rsidRDefault="00770CEB" w:rsidP="00205CE5">
      <w:pPr>
        <w:pStyle w:val="Corps"/>
      </w:pPr>
      <w:r>
        <w:t xml:space="preserve">Pour ce faire, </w:t>
      </w:r>
      <w:r w:rsidRPr="00DE3529">
        <w:t>nous proposons de rappeler pourquoi et comment</w:t>
      </w:r>
      <w:r>
        <w:t xml:space="preserve"> la richesse fournie par</w:t>
      </w:r>
      <w:r w:rsidRPr="00DE3529">
        <w:t xml:space="preserve"> la biodiversité a été appréhendée</w:t>
      </w:r>
      <w:r>
        <w:t xml:space="preserve">, </w:t>
      </w:r>
      <w:r w:rsidRPr="00DE3529">
        <w:t>et comment elle est envisagée aujourd’hui en France par la puissance publique</w:t>
      </w:r>
      <w:r>
        <w:t xml:space="preserve">, tout en soulignant les limites des options retenues et la possibilité d’aller vers une évaluation de la dette écologique à partir du calcul des coûts de maintien de la biodiversité. </w:t>
      </w:r>
    </w:p>
    <w:p w14:paraId="501F5640" w14:textId="23F1D2C4" w:rsidR="00770CEB" w:rsidRPr="00205CE5" w:rsidRDefault="00770CEB" w:rsidP="00205CE5">
      <w:pPr>
        <w:pStyle w:val="VDIIntertitre"/>
      </w:pPr>
      <w:r>
        <w:t>Mesurer la</w:t>
      </w:r>
      <w:r w:rsidRPr="00DE3529">
        <w:t xml:space="preserve"> richesse </w:t>
      </w:r>
      <w:r>
        <w:t>de</w:t>
      </w:r>
      <w:r w:rsidRPr="00DE3529">
        <w:t xml:space="preserve"> la biodiversité</w:t>
      </w:r>
      <w:r>
        <w:t> : un exercice difficile !</w:t>
      </w:r>
      <w:r w:rsidRPr="00DE3529">
        <w:t xml:space="preserve"> </w:t>
      </w:r>
    </w:p>
    <w:p w14:paraId="5D3CBF6C" w14:textId="77777777" w:rsidR="00770CEB" w:rsidRPr="0073742C" w:rsidRDefault="00770CEB" w:rsidP="00770CEB">
      <w:pPr>
        <w:pStyle w:val="Corps"/>
      </w:pPr>
      <w:r w:rsidRPr="00DE3529">
        <w:t xml:space="preserve">Il est évident que la biodiversité </w:t>
      </w:r>
      <w:r>
        <w:t>est</w:t>
      </w:r>
      <w:r w:rsidRPr="00DE3529">
        <w:t xml:space="preserve"> une source de richesse</w:t>
      </w:r>
      <w:r>
        <w:t xml:space="preserve"> pour nos sociétés</w:t>
      </w:r>
      <w:r w:rsidRPr="00DE3529">
        <w:t xml:space="preserve">. Ainsi, un espace naturel </w:t>
      </w:r>
      <w:r>
        <w:t>au sein</w:t>
      </w:r>
      <w:r w:rsidRPr="00DE3529">
        <w:t xml:space="preserve"> d’une grande ville va fournir de nombreux services pour la population, qu’il s’agisse simplement de se promener, de se rafraîchir </w:t>
      </w:r>
      <w:r>
        <w:t>en</w:t>
      </w:r>
      <w:r w:rsidRPr="00DE3529">
        <w:t xml:space="preserve"> période de canicule, d’observer les oiseaux pour le plaisir</w:t>
      </w:r>
      <w:r>
        <w:t xml:space="preserve">, </w:t>
      </w:r>
      <w:r w:rsidRPr="00DE3529">
        <w:t>ou</w:t>
      </w:r>
      <w:r>
        <w:t xml:space="preserve"> encore</w:t>
      </w:r>
      <w:r w:rsidRPr="00DE3529">
        <w:t xml:space="preserve"> de </w:t>
      </w:r>
      <w:r>
        <w:t>réduire les risques d’inondation</w:t>
      </w:r>
      <w:r w:rsidRPr="00DE3529">
        <w:t>.</w:t>
      </w:r>
      <w:r>
        <w:t xml:space="preserve"> </w:t>
      </w:r>
      <w:r w:rsidRPr="00DE3529">
        <w:t xml:space="preserve">David Pearce, un économiste de renom dans le champ de l’économie de l’environnement, soulignait dès les années 1980 que la biodiversité </w:t>
      </w:r>
      <w:r w:rsidRPr="00DE3529">
        <w:lastRenderedPageBreak/>
        <w:t xml:space="preserve">représentait une forme de capital tout à fait exceptionnelle pour deux raisons principales. Ce capital est tout d’abord souvent plus efficace </w:t>
      </w:r>
      <w:r>
        <w:t>pour</w:t>
      </w:r>
      <w:r w:rsidRPr="00DE3529">
        <w:t xml:space="preserve"> produire un service donné que le capital physique</w:t>
      </w:r>
      <w:r>
        <w:t xml:space="preserve"> ou humain : par </w:t>
      </w:r>
      <w:r w:rsidRPr="00DE3529">
        <w:t xml:space="preserve">exemple la pollinisation par des insectes </w:t>
      </w:r>
      <w:r>
        <w:t>est</w:t>
      </w:r>
      <w:r w:rsidRPr="00DE3529">
        <w:t xml:space="preserve"> bien plus efficace que par des nano-robots</w:t>
      </w:r>
      <w:r>
        <w:t xml:space="preserve"> ou des humains</w:t>
      </w:r>
      <w:r w:rsidRPr="00DE3529">
        <w:t xml:space="preserve">. </w:t>
      </w:r>
      <w:r>
        <w:t>Ensuite</w:t>
      </w:r>
      <w:r w:rsidRPr="00DE3529">
        <w:t xml:space="preserve"> il est capable de fournir plusieurs services en même temps là où le capital physique </w:t>
      </w:r>
      <w:r>
        <w:t>est conçu</w:t>
      </w:r>
      <w:r w:rsidRPr="00DE3529">
        <w:t xml:space="preserve"> pour produire un seul et unique service</w:t>
      </w:r>
      <w:r>
        <w:t>.</w:t>
      </w:r>
      <w:r w:rsidRPr="00DE3529">
        <w:t xml:space="preserve"> </w:t>
      </w:r>
      <w:r>
        <w:t>Une</w:t>
      </w:r>
      <w:r w:rsidRPr="00DE3529">
        <w:t xml:space="preserve"> zone humide permet de filtrer l’eau</w:t>
      </w:r>
      <w:r>
        <w:t xml:space="preserve">, </w:t>
      </w:r>
      <w:r w:rsidRPr="00DE3529">
        <w:t xml:space="preserve">comme une station d’épuration, </w:t>
      </w:r>
      <w:r>
        <w:t xml:space="preserve">mais </w:t>
      </w:r>
      <w:r w:rsidRPr="00DE3529">
        <w:t xml:space="preserve">elle </w:t>
      </w:r>
      <w:r>
        <w:t>constitue aussi</w:t>
      </w:r>
      <w:r w:rsidRPr="00DE3529">
        <w:t xml:space="preserve"> une zone tampon pour les éventuelles inondations, elle offre un habitat pour du gibier d’eau</w:t>
      </w:r>
      <w:r>
        <w:t>,</w:t>
      </w:r>
      <w:r w:rsidRPr="00DE3529">
        <w:t xml:space="preserve"> et une réserve d’eau pour les périodes de sécheresse. </w:t>
      </w:r>
      <w:r>
        <w:t>D</w:t>
      </w:r>
      <w:r w:rsidRPr="00DE3529">
        <w:t>ans nos sociétés où les indicateurs quantitatifs jouent un rôle clé, la traduction de cette richesse en une mesure objective</w:t>
      </w:r>
      <w:r>
        <w:t xml:space="preserve"> </w:t>
      </w:r>
      <w:r w:rsidRPr="00DE3529">
        <w:t>est quelque chose qui semble</w:t>
      </w:r>
      <w:r>
        <w:t>rait</w:t>
      </w:r>
      <w:r w:rsidRPr="00DE3529">
        <w:t xml:space="preserve"> aller de soi. Pourtant, rien n’est moins évident.</w:t>
      </w:r>
    </w:p>
    <w:p w14:paraId="7E887AD5" w14:textId="77777777" w:rsidR="00770CEB" w:rsidRPr="00DE3529" w:rsidRDefault="00770CEB" w:rsidP="00205CE5">
      <w:pPr>
        <w:pStyle w:val="Corps"/>
      </w:pPr>
      <w:r w:rsidRPr="00DE3529">
        <w:t xml:space="preserve">D’un point de </w:t>
      </w:r>
      <w:bookmarkStart w:id="0" w:name="_GoBack"/>
      <w:bookmarkEnd w:id="0"/>
      <w:r w:rsidRPr="00DE3529">
        <w:t xml:space="preserve">vue économique, la richesse est </w:t>
      </w:r>
      <w:r>
        <w:t xml:space="preserve">souvent </w:t>
      </w:r>
      <w:r w:rsidRPr="00DE3529">
        <w:t>associée à l’accumulation de stocks de capitaux, mesurés à partir d’une unité homogène</w:t>
      </w:r>
      <w:r>
        <w:t xml:space="preserve">, </w:t>
      </w:r>
      <w:r w:rsidRPr="00DE3529">
        <w:t xml:space="preserve">idéalement monétaire. </w:t>
      </w:r>
      <w:r>
        <w:t xml:space="preserve">Or, appréhender la richesse du vivant en termes de stock semble acceptable – mais beaucoup moins le fait de la mesurer </w:t>
      </w:r>
      <w:r w:rsidRPr="00DE3529">
        <w:t xml:space="preserve">à partir d’une </w:t>
      </w:r>
      <w:r>
        <w:t xml:space="preserve">seule </w:t>
      </w:r>
      <w:r w:rsidRPr="00DE3529">
        <w:t xml:space="preserve">unité </w:t>
      </w:r>
      <w:r>
        <w:t>de mesure</w:t>
      </w:r>
      <w:r w:rsidRPr="00DE3529">
        <w:t xml:space="preserve">. En </w:t>
      </w:r>
      <w:r>
        <w:t>effet,</w:t>
      </w:r>
      <w:r w:rsidRPr="00DE3529">
        <w:t xml:space="preserve"> la notion</w:t>
      </w:r>
      <w:r>
        <w:t xml:space="preserve"> écologique</w:t>
      </w:r>
      <w:r w:rsidRPr="00DE3529">
        <w:t xml:space="preserve"> de richesse est associée à l’idée de diversité. </w:t>
      </w:r>
      <w:r>
        <w:t xml:space="preserve">Il y a comme </w:t>
      </w:r>
      <w:r w:rsidRPr="00DE3529">
        <w:t>deux visions opposées de la notion de richesse</w:t>
      </w:r>
      <w:r>
        <w:t xml:space="preserve"> : une économique qui </w:t>
      </w:r>
      <w:r w:rsidRPr="00DE3529">
        <w:t>repose sur la quantité et</w:t>
      </w:r>
      <w:r>
        <w:t xml:space="preserve"> une écologique </w:t>
      </w:r>
      <w:r w:rsidRPr="00DE3529">
        <w:t xml:space="preserve">sur la diversité. </w:t>
      </w:r>
    </w:p>
    <w:p w14:paraId="54DD2D19" w14:textId="77777777" w:rsidR="00770CEB" w:rsidRPr="00DE3529" w:rsidRDefault="00770CEB" w:rsidP="00770CEB">
      <w:pPr>
        <w:pStyle w:val="Corps"/>
      </w:pPr>
      <w:r w:rsidRPr="00DE3529">
        <w:t xml:space="preserve">Le deuxième problème </w:t>
      </w:r>
      <w:r>
        <w:t xml:space="preserve">de la mesure de la richesse de la biodiversité </w:t>
      </w:r>
      <w:r w:rsidRPr="00DE3529">
        <w:t xml:space="preserve">est </w:t>
      </w:r>
      <w:r>
        <w:t>la traduction de cette dernière en termes monétaires.</w:t>
      </w:r>
      <w:r w:rsidRPr="00DE3529">
        <w:t xml:space="preserve"> </w:t>
      </w:r>
      <w:r>
        <w:t>P</w:t>
      </w:r>
      <w:r w:rsidRPr="00DE3529">
        <w:t xml:space="preserve">our avoir un prix, </w:t>
      </w:r>
      <w:r>
        <w:t xml:space="preserve">il faut </w:t>
      </w:r>
      <w:r w:rsidRPr="00DE3529">
        <w:t xml:space="preserve">des transactions marchandes. </w:t>
      </w:r>
      <w:r w:rsidRPr="00F22462">
        <w:t>Comme l’écrivait Von Mises en 1920</w:t>
      </w:r>
      <w:r>
        <w:t> : « l</w:t>
      </w:r>
      <w:r w:rsidRPr="00F22462">
        <w:t>à où il n’y a pas de marché libre, il n’y a pas de mécanisme de prix ; et sans mécanisme de prix, il n’y a pas de calcul économique</w:t>
      </w:r>
      <w:r>
        <w:t> »</w:t>
      </w:r>
      <w:r w:rsidRPr="00F22462">
        <w:t>.</w:t>
      </w:r>
      <w:r>
        <w:rPr>
          <w:rStyle w:val="Appelnotedebasdep"/>
          <w:rFonts w:ascii="Times New Roman" w:hAnsi="Times New Roman" w:cs="Times New Roman"/>
          <w:color w:val="000000" w:themeColor="text1"/>
        </w:rPr>
        <w:footnoteReference w:id="3"/>
      </w:r>
      <w:r>
        <w:t xml:space="preserve"> </w:t>
      </w:r>
      <w:r w:rsidRPr="00DE3529">
        <w:t>Or la biodiversité représente un ensemble d’entités vivantes, allant du gène jusqu’aux communautés animales et végétales, qu</w:t>
      </w:r>
      <w:r>
        <w:t>i</w:t>
      </w:r>
      <w:r w:rsidRPr="00DE3529">
        <w:t xml:space="preserve">, pour des raisons techniques et éthiques, </w:t>
      </w:r>
      <w:r>
        <w:t>ne sont pas des</w:t>
      </w:r>
      <w:r w:rsidRPr="00DE3529">
        <w:t xml:space="preserve"> biens privés échangeables sur des marchés. </w:t>
      </w:r>
    </w:p>
    <w:p w14:paraId="64ABC7C9" w14:textId="7258B4CF" w:rsidR="00770CEB" w:rsidRPr="00205CE5" w:rsidRDefault="00770CEB" w:rsidP="00205CE5">
      <w:pPr>
        <w:pStyle w:val="Corps"/>
      </w:pPr>
      <w:r w:rsidRPr="00DE3529">
        <w:t xml:space="preserve">C’est donc là un des paradoxes de la biodiversité : bien qu’on reconnaisse qu’elle </w:t>
      </w:r>
      <w:r w:rsidR="00205CE5">
        <w:t>est</w:t>
      </w:r>
      <w:r w:rsidRPr="00DE3529">
        <w:t xml:space="preserve"> source d’une grande richesse pour nos sociétés, la mesure de cette dernière dans une économie de marché n’a rien d’évident. </w:t>
      </w:r>
    </w:p>
    <w:p w14:paraId="2D1C54CB" w14:textId="77777777" w:rsidR="00770CEB" w:rsidRPr="00DE3529" w:rsidRDefault="00770CEB" w:rsidP="00770CEB">
      <w:pPr>
        <w:pStyle w:val="VDIIntertitre"/>
      </w:pPr>
      <w:r w:rsidRPr="00DE3529">
        <w:lastRenderedPageBreak/>
        <w:t>Trois approches pour mesurer la richesse fourni</w:t>
      </w:r>
      <w:r>
        <w:t>e</w:t>
      </w:r>
      <w:r w:rsidRPr="00DE3529">
        <w:t xml:space="preserve"> par la biodiversité</w:t>
      </w:r>
    </w:p>
    <w:p w14:paraId="32EDC35E" w14:textId="77777777" w:rsidR="00770CEB" w:rsidRPr="00DE3529" w:rsidRDefault="00770CEB" w:rsidP="00770CEB">
      <w:pPr>
        <w:jc w:val="both"/>
        <w:rPr>
          <w:color w:val="000000" w:themeColor="text1"/>
        </w:rPr>
      </w:pPr>
    </w:p>
    <w:p w14:paraId="74713CB8" w14:textId="64108A03" w:rsidR="00770CEB" w:rsidRPr="00205CE5" w:rsidRDefault="00770CEB" w:rsidP="00205CE5">
      <w:pPr>
        <w:pStyle w:val="Corps"/>
      </w:pPr>
      <w:r w:rsidRPr="00DE3529">
        <w:t>Trois propositions ont été faites pour surmonter ce double problème de la non</w:t>
      </w:r>
      <w:r w:rsidR="00754EA9">
        <w:t>-</w:t>
      </w:r>
      <w:r w:rsidRPr="00DE3529">
        <w:t xml:space="preserve">commensurabilité (la transformation de </w:t>
      </w:r>
      <w:r w:rsidRPr="00DE3529">
        <w:rPr>
          <w:i/>
        </w:rPr>
        <w:t>qualités</w:t>
      </w:r>
      <w:r w:rsidRPr="00DE3529">
        <w:t xml:space="preserve"> en </w:t>
      </w:r>
      <w:r w:rsidRPr="00DE3529">
        <w:rPr>
          <w:i/>
        </w:rPr>
        <w:t>quantités</w:t>
      </w:r>
      <w:r w:rsidRPr="00DE3529">
        <w:t>) de la biodiversité et de sa non</w:t>
      </w:r>
      <w:r w:rsidR="00754EA9">
        <w:t>-</w:t>
      </w:r>
      <w:r w:rsidRPr="00DE3529">
        <w:t xml:space="preserve">monétisation (la transformation de quantités physiques en valeurs monétaires via les mécanismes de marché). </w:t>
      </w:r>
    </w:p>
    <w:p w14:paraId="482B689B" w14:textId="10BC4DD9" w:rsidR="00770CEB" w:rsidRPr="00205CE5" w:rsidRDefault="00770CEB" w:rsidP="00205CE5">
      <w:pPr>
        <w:pStyle w:val="Corps"/>
      </w:pPr>
      <w:r w:rsidRPr="00DE3529">
        <w:t xml:space="preserve">La première est de considérer que si la richesse </w:t>
      </w:r>
      <w:r>
        <w:t xml:space="preserve">économique </w:t>
      </w:r>
      <w:r w:rsidRPr="00DE3529">
        <w:t xml:space="preserve">que représente la biodiversité n’est pas mesurable, il est en revanche possible de </w:t>
      </w:r>
      <w:r>
        <w:t>procéder à une estimation de la valeur</w:t>
      </w:r>
      <w:r w:rsidRPr="00DE3529">
        <w:t xml:space="preserve"> </w:t>
      </w:r>
      <w:r>
        <w:t>d</w:t>
      </w:r>
      <w:r w:rsidRPr="00DE3529">
        <w:t xml:space="preserve">es services écosystémiques qu’elle fournit </w:t>
      </w:r>
      <w:r w:rsidRPr="00A84334">
        <w:t>(</w:t>
      </w:r>
      <w:proofErr w:type="spellStart"/>
      <w:r w:rsidRPr="002574CE">
        <w:t>Chevassus</w:t>
      </w:r>
      <w:proofErr w:type="spellEnd"/>
      <w:r w:rsidRPr="002574CE">
        <w:t xml:space="preserve">-au-Louis </w:t>
      </w:r>
      <w:r>
        <w:rPr>
          <w:i/>
        </w:rPr>
        <w:t>et al.</w:t>
      </w:r>
      <w:r w:rsidRPr="00DE3529">
        <w:t>, 20</w:t>
      </w:r>
      <w:r>
        <w:t>09</w:t>
      </w:r>
      <w:r w:rsidRPr="00DE3529">
        <w:t xml:space="preserve">. </w:t>
      </w:r>
      <w:r>
        <w:t>Et</w:t>
      </w:r>
      <w:r w:rsidRPr="00DE3529">
        <w:t xml:space="preserve"> </w:t>
      </w:r>
      <w:r>
        <w:t>lorsque ces</w:t>
      </w:r>
      <w:r w:rsidRPr="00DE3529">
        <w:t xml:space="preserve"> valeur</w:t>
      </w:r>
      <w:r>
        <w:t>s</w:t>
      </w:r>
      <w:r w:rsidRPr="00DE3529">
        <w:t xml:space="preserve"> ne renvoie</w:t>
      </w:r>
      <w:r>
        <w:t>nt</w:t>
      </w:r>
      <w:r w:rsidRPr="00DE3529">
        <w:t xml:space="preserve"> pas à des échanges marchands, il est possible d</w:t>
      </w:r>
      <w:r>
        <w:t>’en</w:t>
      </w:r>
      <w:r w:rsidRPr="00DE3529">
        <w:t xml:space="preserve"> proposer des estimations indirectes</w:t>
      </w:r>
      <w:r>
        <w:t> : une</w:t>
      </w:r>
      <w:r w:rsidRPr="00DE3529">
        <w:t xml:space="preserve"> maison a plus de valeur lorsqu’elle offre une vue sur un beau paysage plutôt que sur une rue, des </w:t>
      </w:r>
      <w:r>
        <w:t>personnes</w:t>
      </w:r>
      <w:r w:rsidRPr="00DE3529">
        <w:t xml:space="preserve"> consentent à dépenser des sommes importantes (en transport, en logement, etc.) pour pouvoir bénéficier d’activités de pleine nature pendant leurs vacances</w:t>
      </w:r>
      <w:r>
        <w:t>, ou encore</w:t>
      </w:r>
      <w:r w:rsidRPr="00DE3529">
        <w:t xml:space="preserve"> des entreprises d’approvisionnement en eau investissent beaucoup d’argent pour protéger </w:t>
      </w:r>
      <w:r>
        <w:t>certains écosystèmes qui fournissent des</w:t>
      </w:r>
      <w:r w:rsidRPr="00DE3529">
        <w:t xml:space="preserve"> zones de captages</w:t>
      </w:r>
      <w:r>
        <w:t xml:space="preserve"> d’eau potable</w:t>
      </w:r>
      <w:r w:rsidRPr="00DE3529">
        <w:t xml:space="preserve">. Tous ces </w:t>
      </w:r>
      <w:r>
        <w:t>cas de figure</w:t>
      </w:r>
      <w:r w:rsidRPr="00DE3529">
        <w:t xml:space="preserve"> offrent l’opportunité d</w:t>
      </w:r>
      <w:r>
        <w:t xml:space="preserve">’effectuer </w:t>
      </w:r>
      <w:r w:rsidRPr="00DE3529">
        <w:t xml:space="preserve">des estimations indirectes des valeurs associées à la richesse </w:t>
      </w:r>
      <w:r>
        <w:t>de</w:t>
      </w:r>
      <w:r w:rsidRPr="00DE3529">
        <w:t xml:space="preserve"> la biodiversité</w:t>
      </w:r>
      <w:r>
        <w:t>, à partir des sommes dépensées par les agents (consommateurs ou entreprises) pour bénéficier de ses services</w:t>
      </w:r>
      <w:r w:rsidRPr="00DE3529">
        <w:t xml:space="preserve">. </w:t>
      </w:r>
      <w:r>
        <w:t>L</w:t>
      </w:r>
      <w:r w:rsidRPr="00DE3529">
        <w:t xml:space="preserve">es valeurs monétaires </w:t>
      </w:r>
      <w:r>
        <w:t xml:space="preserve">ainsi obtenues permettent, une fois agrégées les unes aux autres, de </w:t>
      </w:r>
      <w:r w:rsidRPr="00DE3529">
        <w:t>corriger les indicateurs</w:t>
      </w:r>
      <w:r>
        <w:t xml:space="preserve"> usuels</w:t>
      </w:r>
      <w:r w:rsidRPr="00DE3529">
        <w:t xml:space="preserve"> de richesse économique. L’indicateur</w:t>
      </w:r>
      <w:r>
        <w:t xml:space="preserve"> de ce type</w:t>
      </w:r>
      <w:r w:rsidRPr="00DE3529">
        <w:t xml:space="preserve"> le plus connu est l</w:t>
      </w:r>
      <w:proofErr w:type="gramStart"/>
      <w:r w:rsidRPr="00DE3529">
        <w:t>’</w:t>
      </w:r>
      <w:r>
        <w:t>«</w:t>
      </w:r>
      <w:proofErr w:type="gramEnd"/>
      <w:r>
        <w:t> </w:t>
      </w:r>
      <w:r w:rsidRPr="00DE3529">
        <w:t>épargne véritable</w:t>
      </w:r>
      <w:r>
        <w:t> »,</w:t>
      </w:r>
      <w:r w:rsidRPr="00DE3529">
        <w:t xml:space="preserve"> de la Banque Mondiale</w:t>
      </w:r>
      <w:r>
        <w:t>,</w:t>
      </w:r>
      <w:r w:rsidRPr="00DE3529">
        <w:t xml:space="preserve"> qui propose d</w:t>
      </w:r>
      <w:r>
        <w:t xml:space="preserve">’ajuster </w:t>
      </w:r>
      <w:r w:rsidRPr="00DE3529">
        <w:t>l’indicateur comptable de formation brute de capital fixe (</w:t>
      </w:r>
      <w:r>
        <w:t>mesure de l’investissement</w:t>
      </w:r>
      <w:r w:rsidRPr="00DE3529">
        <w:t xml:space="preserve"> d’un pays)</w:t>
      </w:r>
      <w:r>
        <w:t xml:space="preserve"> en prenant en compte la </w:t>
      </w:r>
      <w:r w:rsidRPr="00DE3529">
        <w:t xml:space="preserve">destruction </w:t>
      </w:r>
      <w:r>
        <w:t>du capital naturel que représentent l</w:t>
      </w:r>
      <w:r w:rsidRPr="00DE3529">
        <w:t>es écosystèmes</w:t>
      </w:r>
      <w:r>
        <w:t>.</w:t>
      </w:r>
      <w:r w:rsidRPr="00DE3529">
        <w:t xml:space="preserve"> </w:t>
      </w:r>
    </w:p>
    <w:p w14:paraId="4458EB82" w14:textId="698B6F4D" w:rsidR="00770CEB" w:rsidRPr="006E7F76" w:rsidRDefault="00770CEB" w:rsidP="00770CEB">
      <w:pPr>
        <w:pStyle w:val="Corps"/>
      </w:pPr>
      <w:r w:rsidRPr="006E7F76">
        <w:t xml:space="preserve">La </w:t>
      </w:r>
      <w:r>
        <w:t>deuxième</w:t>
      </w:r>
      <w:r w:rsidRPr="006E7F76">
        <w:t xml:space="preserve"> proposition est de se focaliser sur des indicateurs qui décrivent les interactions entre les dynamiques économiques et </w:t>
      </w:r>
      <w:r>
        <w:t>celles</w:t>
      </w:r>
      <w:r w:rsidRPr="006E7F76">
        <w:t xml:space="preserve"> de la biodiversité. Ces indicateurs ont plutôt vocation à être « parlants » ou « utilisables » par les décideurs. On distingue généralement deux </w:t>
      </w:r>
      <w:r>
        <w:t>approches</w:t>
      </w:r>
      <w:r w:rsidRPr="006E7F76">
        <w:t xml:space="preserve"> : </w:t>
      </w:r>
      <w:r>
        <w:t>les</w:t>
      </w:r>
      <w:r w:rsidRPr="006E7F76">
        <w:t xml:space="preserve"> indicateur</w:t>
      </w:r>
      <w:r>
        <w:t>s</w:t>
      </w:r>
      <w:r w:rsidRPr="006E7F76">
        <w:t xml:space="preserve"> synthétique</w:t>
      </w:r>
      <w:r>
        <w:t>s</w:t>
      </w:r>
      <w:r w:rsidRPr="006E7F76">
        <w:t xml:space="preserve"> </w:t>
      </w:r>
      <w:r>
        <w:t>et</w:t>
      </w:r>
      <w:r w:rsidRPr="006E7F76">
        <w:t xml:space="preserve"> </w:t>
      </w:r>
      <w:r>
        <w:t>les</w:t>
      </w:r>
      <w:r w:rsidRPr="006E7F76">
        <w:t xml:space="preserve"> tableaux de bord</w:t>
      </w:r>
      <w:r>
        <w:t xml:space="preserve"> d’indicateurs</w:t>
      </w:r>
      <w:r w:rsidRPr="006E7F76">
        <w:t>.</w:t>
      </w:r>
    </w:p>
    <w:p w14:paraId="224FB4F8" w14:textId="77777777" w:rsidR="00770CEB" w:rsidRPr="00F22462" w:rsidRDefault="00770CEB" w:rsidP="00770CEB">
      <w:pPr>
        <w:pStyle w:val="Corps"/>
      </w:pPr>
      <w:r w:rsidRPr="00F22462">
        <w:t xml:space="preserve">Les indicateurs synthétiques visent à relier des niveaux de consommation ou de production avec des niveaux de destruction de la biodiversité. Le plus connu est sans doute « l’empreinte écologique », qui est l’indicateur clé autour duquel le WWF </w:t>
      </w:r>
      <w:r w:rsidRPr="00F22462">
        <w:lastRenderedPageBreak/>
        <w:t>communique chaque année.</w:t>
      </w:r>
      <w:r>
        <w:t xml:space="preserve"> Cette </w:t>
      </w:r>
      <w:r w:rsidRPr="00F22462">
        <w:t xml:space="preserve">empreinte écologique est construite à partir de la consommation finale des ménages (ou des villes ou des pays), </w:t>
      </w:r>
      <w:r>
        <w:t>et évalue</w:t>
      </w:r>
      <w:r w:rsidRPr="00F22462">
        <w:t xml:space="preserve"> le nombre d</w:t>
      </w:r>
      <w:proofErr w:type="gramStart"/>
      <w:r w:rsidRPr="00F22462">
        <w:t>’«</w:t>
      </w:r>
      <w:proofErr w:type="gramEnd"/>
      <w:r w:rsidRPr="00F22462">
        <w:t> hectares bio-productifs moyens » qui sont nécessaires pour couvrir cette consommation. Une dette écologique apparaît si le nombre d’hectares nécessaires pour couvrir la consommation est supérieur à la surface du globe lorsqu’on extrapole cette consommation à l’ensemble de la population planétaire</w:t>
      </w:r>
      <w:r>
        <w:t>.</w:t>
      </w:r>
      <w:r w:rsidRPr="00F22462">
        <w:t xml:space="preserve"> </w:t>
      </w:r>
    </w:p>
    <w:p w14:paraId="775571E8" w14:textId="36266D32" w:rsidR="00770CEB" w:rsidRPr="00205CE5" w:rsidRDefault="00770CEB" w:rsidP="00205CE5">
      <w:pPr>
        <w:pStyle w:val="Corps"/>
      </w:pPr>
      <w:r w:rsidRPr="00F22462">
        <w:t>Les tableaux de bord proposent quant à eux une diversité d’indicateurs de développement durable parmi lesquels on trouvera les indicateurs économiques traditionnels (comme la croissance du PIB)</w:t>
      </w:r>
      <w:r w:rsidR="00754EA9">
        <w:t>,</w:t>
      </w:r>
      <w:r w:rsidRPr="00F22462">
        <w:t xml:space="preserve"> mais aussi d’autres indicateurs associés au « pilier social » et au « pilier environnemental ». Ils ont été développés tout au long des années 1990 par l’ONU à l’échelle internationale et par l’</w:t>
      </w:r>
      <w:r>
        <w:t>Institut Français de l’Environnement (</w:t>
      </w:r>
      <w:r w:rsidRPr="00F22462">
        <w:t>IFEN</w:t>
      </w:r>
      <w:r>
        <w:t>)</w:t>
      </w:r>
      <w:r w:rsidRPr="00F22462">
        <w:t xml:space="preserve"> en France (</w:t>
      </w:r>
      <w:proofErr w:type="spellStart"/>
      <w:r w:rsidRPr="00F22462">
        <w:t>Levrel</w:t>
      </w:r>
      <w:proofErr w:type="spellEnd"/>
      <w:r w:rsidRPr="00F22462">
        <w:t xml:space="preserve">, 2008). Aujourd’hui le tableau de bord </w:t>
      </w:r>
      <w:r>
        <w:t>de référence au niveau international</w:t>
      </w:r>
      <w:r w:rsidRPr="00F22462">
        <w:t xml:space="preserve"> est celui des ODD</w:t>
      </w:r>
      <w:r>
        <w:rPr>
          <w:rStyle w:val="Appelnotedebasdep"/>
          <w:rFonts w:ascii="Times New Roman" w:hAnsi="Times New Roman" w:cs="Times New Roman"/>
        </w:rPr>
        <w:footnoteReference w:id="4"/>
      </w:r>
      <w:r w:rsidRPr="00F22462">
        <w:t xml:space="preserve"> (objectifs du développement durable). La biodiversité est bien représentée dans ce tableau de bord à travers une vingtaine d’indicateurs ventilés dans les objectifs 14 et 15 qui proposent de mesurer la conservation, la préservation et la restauration des </w:t>
      </w:r>
      <w:proofErr w:type="spellStart"/>
      <w:r w:rsidRPr="00F22462">
        <w:t>écosystèmes</w:t>
      </w:r>
      <w:proofErr w:type="spellEnd"/>
      <w:r w:rsidRPr="00F22462">
        <w:t xml:space="preserve"> et de la biodiversité.</w:t>
      </w:r>
    </w:p>
    <w:p w14:paraId="27034002" w14:textId="759FFE42" w:rsidR="00770CEB" w:rsidRPr="00205CE5" w:rsidRDefault="00770CEB" w:rsidP="00205CE5">
      <w:pPr>
        <w:pStyle w:val="Corps"/>
      </w:pPr>
      <w:r w:rsidRPr="00800049">
        <w:t>La troisième proposition est de rester cohérent avec le cadre de la comptabilité nationale et de s’en tenir à une version étroite de ce qui est économiquement mesurable, en distinguant la richesse économique</w:t>
      </w:r>
      <w:r>
        <w:t xml:space="preserve"> d’une part</w:t>
      </w:r>
      <w:r w:rsidRPr="00800049">
        <w:t xml:space="preserve"> </w:t>
      </w:r>
      <w:r>
        <w:t>et</w:t>
      </w:r>
      <w:r w:rsidRPr="00800049">
        <w:t xml:space="preserve"> la richesse sociale et écologique</w:t>
      </w:r>
      <w:r>
        <w:t xml:space="preserve"> de l’autre</w:t>
      </w:r>
      <w:r w:rsidRPr="00800049">
        <w:t>. Ainsi les comptes du patrimoine naturel ont été conçus comme incluant des éléments dont on pensait bien qu’il ne serait possible</w:t>
      </w:r>
      <w:r>
        <w:t xml:space="preserve"> de les mesurer qu’en termes physiques et non monétaires – en partie, comme l’eau, ou en totalité, comme l’air</w:t>
      </w:r>
      <w:r w:rsidRPr="00800049">
        <w:t xml:space="preserve"> (</w:t>
      </w:r>
      <w:proofErr w:type="spellStart"/>
      <w:r w:rsidRPr="00800049">
        <w:t>Vanoli</w:t>
      </w:r>
      <w:proofErr w:type="spellEnd"/>
      <w:r w:rsidRPr="00800049">
        <w:t>,</w:t>
      </w:r>
      <w:r>
        <w:t xml:space="preserve"> 2002,</w:t>
      </w:r>
      <w:r w:rsidRPr="00800049">
        <w:t xml:space="preserve"> p.</w:t>
      </w:r>
      <w:r w:rsidR="00205CE5">
        <w:t> </w:t>
      </w:r>
      <w:r w:rsidRPr="00800049">
        <w:t>443). Ces indicateurs sont renseignés dans ce que l’on appelle les comptes satellites</w:t>
      </w:r>
      <w:r w:rsidRPr="006E7F76">
        <w:rPr>
          <w:rStyle w:val="Appelnotedebasdep"/>
          <w:rFonts w:ascii="Times New Roman" w:hAnsi="Times New Roman" w:cs="Times New Roman"/>
        </w:rPr>
        <w:footnoteReference w:id="5"/>
      </w:r>
      <w:r w:rsidRPr="00800049">
        <w:t xml:space="preserve"> de la comptabilité nationale. </w:t>
      </w:r>
      <w:r w:rsidR="00205CE5">
        <w:t>À</w:t>
      </w:r>
      <w:r w:rsidRPr="00800049">
        <w:t xml:space="preserve"> l’échelle mondiale c’est le </w:t>
      </w:r>
      <w:hyperlink r:id="rId9" w:history="1">
        <w:r w:rsidRPr="0059476C">
          <w:rPr>
            <w:rStyle w:val="Lienhypertexte"/>
          </w:rPr>
          <w:t>programme onusien SEEA-EA</w:t>
        </w:r>
      </w:hyperlink>
      <w:r w:rsidRPr="00800049">
        <w:t xml:space="preserve"> (</w:t>
      </w:r>
      <w:r w:rsidRPr="00800049">
        <w:rPr>
          <w:i/>
        </w:rPr>
        <w:t xml:space="preserve">System of </w:t>
      </w:r>
      <w:proofErr w:type="spellStart"/>
      <w:r w:rsidRPr="00800049">
        <w:rPr>
          <w:i/>
        </w:rPr>
        <w:t>Environmental</w:t>
      </w:r>
      <w:proofErr w:type="spellEnd"/>
      <w:r w:rsidRPr="00800049">
        <w:rPr>
          <w:i/>
        </w:rPr>
        <w:t xml:space="preserve"> </w:t>
      </w:r>
      <w:proofErr w:type="spellStart"/>
      <w:r w:rsidRPr="00800049">
        <w:rPr>
          <w:i/>
        </w:rPr>
        <w:t>Economic</w:t>
      </w:r>
      <w:proofErr w:type="spellEnd"/>
      <w:r w:rsidRPr="00800049">
        <w:rPr>
          <w:i/>
        </w:rPr>
        <w:t xml:space="preserve"> </w:t>
      </w:r>
      <w:proofErr w:type="spellStart"/>
      <w:r w:rsidRPr="00800049">
        <w:rPr>
          <w:i/>
        </w:rPr>
        <w:t>Accounting</w:t>
      </w:r>
      <w:proofErr w:type="spellEnd"/>
      <w:r w:rsidRPr="00800049">
        <w:rPr>
          <w:i/>
        </w:rPr>
        <w:t xml:space="preserve"> –</w:t>
      </w:r>
      <w:proofErr w:type="spellStart"/>
      <w:r w:rsidRPr="00800049">
        <w:rPr>
          <w:i/>
        </w:rPr>
        <w:t>Ecosystem</w:t>
      </w:r>
      <w:proofErr w:type="spellEnd"/>
      <w:r w:rsidRPr="00800049">
        <w:rPr>
          <w:i/>
        </w:rPr>
        <w:t xml:space="preserve"> </w:t>
      </w:r>
      <w:proofErr w:type="spellStart"/>
      <w:r w:rsidRPr="00800049">
        <w:rPr>
          <w:i/>
        </w:rPr>
        <w:t>Accounting</w:t>
      </w:r>
      <w:proofErr w:type="spellEnd"/>
      <w:r w:rsidRPr="00800049">
        <w:t xml:space="preserve">) qui coordonne les réflexions et les propositions sur le sujet en matière de normalisation comptable internationale. </w:t>
      </w:r>
      <w:r>
        <w:t>Des comptes d’étendu</w:t>
      </w:r>
      <w:r w:rsidR="00754EA9">
        <w:t>e</w:t>
      </w:r>
      <w:r>
        <w:t xml:space="preserve"> d’écosystèmes (surfaces d’habitats) et de condition d’écosystèmes (qualité des habitats) ont été adoptés en 2021 par l’ONU en tant que nouvelles normes comptables internationales, ce qui dans les années à venir va conduire les </w:t>
      </w:r>
      <w:r w:rsidR="0059476C">
        <w:t>États</w:t>
      </w:r>
      <w:r>
        <w:t xml:space="preserve"> à devoir produire </w:t>
      </w:r>
      <w:r>
        <w:lastRenderedPageBreak/>
        <w:t>de nouveaux indicateurs standardisés sur la biodiversité. Un exemple d’indicateur d’étendu</w:t>
      </w:r>
      <w:r w:rsidR="00754EA9">
        <w:t>e</w:t>
      </w:r>
      <w:r>
        <w:t xml:space="preserve"> est la surface de forêts dans un pays. Les indicateurs de condition correspondant</w:t>
      </w:r>
      <w:r w:rsidR="00754EA9">
        <w:t>s</w:t>
      </w:r>
      <w:r>
        <w:t xml:space="preserve"> pourront être l’abondance d’oiseaux forestiers, la quantité de bois mort par hectare, la diversité moyenne des essences présentes dans ces forêts, etc. </w:t>
      </w:r>
      <w:r w:rsidRPr="00800049">
        <w:t xml:space="preserve">EUROSTAT joue un rôle significatif dans le domaine en </w:t>
      </w:r>
      <w:r>
        <w:t xml:space="preserve">coordonnant les exercices de suivi sur le sujet à l’échelle européenne et en </w:t>
      </w:r>
      <w:r w:rsidRPr="00800049">
        <w:t>obligeant les pays membre</w:t>
      </w:r>
      <w:r>
        <w:t>s</w:t>
      </w:r>
      <w:r w:rsidRPr="00800049">
        <w:t xml:space="preserve"> de l’Union européenne à </w:t>
      </w:r>
      <w:r>
        <w:t xml:space="preserve">publier des rapports à fréquence régulière </w:t>
      </w:r>
      <w:r w:rsidRPr="00800049">
        <w:t>pour un certain nombre d’informations environnementales</w:t>
      </w:r>
      <w:r>
        <w:rPr>
          <w:rStyle w:val="Appelnotedebasdep"/>
          <w:rFonts w:ascii="Times New Roman" w:hAnsi="Times New Roman" w:cs="Times New Roman"/>
        </w:rPr>
        <w:footnoteReference w:id="6"/>
      </w:r>
      <w:r>
        <w:t>. C’est ainsi EUROSTAT qui va demander aux pays européens de produire des comptes d’étendus et de conditions qui devront lui être remis à intervalles réguliers. Cependant EUROSTAT a voulu aller plus loin que l’ONU sur ce sujet et a aussi été demandé de produire des indicateurs de services écosystémiques non monétaires. Il peut s’agir par exemple du nombre de tonnes de CO2 séquestré par les forêts, de la quantité de sol protégé de l’érosion par ces dernières ou encore d’un indice de fréquentation des milieux forestiers.</w:t>
      </w:r>
    </w:p>
    <w:p w14:paraId="25B76FC3" w14:textId="1CC6361B" w:rsidR="00770CEB" w:rsidRPr="00205CE5" w:rsidRDefault="00770CEB" w:rsidP="00205CE5">
      <w:pPr>
        <w:pStyle w:val="VDIIntertitre"/>
      </w:pPr>
      <w:r>
        <w:t>L’évaluation</w:t>
      </w:r>
      <w:r w:rsidRPr="0003724F">
        <w:t xml:space="preserve"> monétaire </w:t>
      </w:r>
      <w:r>
        <w:t>des services écosystémiques</w:t>
      </w:r>
      <w:r w:rsidRPr="0003724F">
        <w:t xml:space="preserve"> </w:t>
      </w:r>
      <w:r>
        <w:t>de</w:t>
      </w:r>
      <w:r w:rsidRPr="0003724F">
        <w:t xml:space="preserve"> la biodiversité</w:t>
      </w:r>
      <w:r>
        <w:t xml:space="preserve"> : la valeur tutélaire pour guider les investissements publics</w:t>
      </w:r>
    </w:p>
    <w:p w14:paraId="0F5D20B1" w14:textId="07B81761" w:rsidR="00770CEB" w:rsidRPr="00205CE5" w:rsidRDefault="00770CEB" w:rsidP="00205CE5">
      <w:pPr>
        <w:pStyle w:val="Corps"/>
      </w:pPr>
      <w:r>
        <w:t>C</w:t>
      </w:r>
      <w:r w:rsidRPr="006E7F76">
        <w:t xml:space="preserve">omme </w:t>
      </w:r>
      <w:r>
        <w:t>évoqué plus haut</w:t>
      </w:r>
      <w:r w:rsidRPr="006E7F76">
        <w:t>, tout projet d’investissement public</w:t>
      </w:r>
      <w:r>
        <w:t xml:space="preserve"> d’un montant </w:t>
      </w:r>
      <w:r w:rsidRPr="006E7F76">
        <w:t>supérieur à 20 millions d’</w:t>
      </w:r>
      <w:r w:rsidR="00205CE5">
        <w:t>e</w:t>
      </w:r>
      <w:r w:rsidRPr="006E7F76">
        <w:t>uros doit réaliser ce qui est appelé une évaluation socioéconomique du projet, en intégrant les externalités positives et négatives</w:t>
      </w:r>
      <w:r>
        <w:t xml:space="preserve"> de ce dernier</w:t>
      </w:r>
      <w:r w:rsidRPr="006E7F76">
        <w:t>. Cette évaluation est fondée sur la Valeur actualisée nette (VAN) des projets qui permet d’additionner l’ensemble des bénéfices anticipés, marchands et non marchands, d’un investissement à des horizons temporels variés. La VAN nécessite d’appliquer un taux d’actualisation</w:t>
      </w:r>
      <w:r w:rsidRPr="006E7F76">
        <w:rPr>
          <w:rStyle w:val="Appelnotedebasdep"/>
          <w:rFonts w:ascii="Times New Roman" w:hAnsi="Times New Roman" w:cs="Times New Roman"/>
        </w:rPr>
        <w:footnoteReference w:id="7"/>
      </w:r>
      <w:r w:rsidRPr="006E7F76">
        <w:t xml:space="preserve"> qui </w:t>
      </w:r>
      <w:r>
        <w:t xml:space="preserve">rapporte </w:t>
      </w:r>
      <w:r w:rsidRPr="006E7F76">
        <w:t xml:space="preserve">la valeur des bénéfices futurs </w:t>
      </w:r>
      <w:r>
        <w:t xml:space="preserve">à celle </w:t>
      </w:r>
      <w:r w:rsidRPr="006E7F76">
        <w:t xml:space="preserve">des bénéfices </w:t>
      </w:r>
      <w:r>
        <w:t>de</w:t>
      </w:r>
      <w:r w:rsidRPr="006E7F76">
        <w:t xml:space="preserve"> </w:t>
      </w:r>
      <w:r w:rsidRPr="00770CEB">
        <w:t>court</w:t>
      </w:r>
      <w:r w:rsidRPr="006E7F76">
        <w:t xml:space="preserve"> terme (Quinet, 2013). Pour ce qui concerne les gains et les pertes de bénéfices non marchands, la force publique utilise des valeurs tutélaires</w:t>
      </w:r>
      <w:r>
        <w:t> :</w:t>
      </w:r>
      <w:r w:rsidRPr="006E7F76">
        <w:t xml:space="preserve"> </w:t>
      </w:r>
      <w:r>
        <w:t>d</w:t>
      </w:r>
      <w:r w:rsidRPr="006E7F76">
        <w:t>epuis le début des années 2000, la question se pose de savoir comment établir une valeur tutélaire pour la biodiversité.</w:t>
      </w:r>
    </w:p>
    <w:p w14:paraId="02BBEEB0" w14:textId="5B5FDD42" w:rsidR="00770CEB" w:rsidRPr="00770CEB" w:rsidRDefault="00770CEB" w:rsidP="00770CEB">
      <w:pPr>
        <w:pStyle w:val="VDIEncadr"/>
        <w:rPr>
          <w:b/>
          <w:bCs/>
        </w:rPr>
      </w:pPr>
      <w:r w:rsidRPr="00770CEB">
        <w:rPr>
          <w:b/>
          <w:bCs/>
        </w:rPr>
        <w:lastRenderedPageBreak/>
        <w:t>La notion de valeur tutélaire</w:t>
      </w:r>
    </w:p>
    <w:p w14:paraId="7EC074E1" w14:textId="15EA198C" w:rsidR="00770CEB" w:rsidRPr="006E7F76" w:rsidRDefault="00770CEB" w:rsidP="00770CEB">
      <w:pPr>
        <w:pStyle w:val="VDIEncadr"/>
        <w:rPr>
          <w:rFonts w:eastAsia="Times New Roman"/>
          <w:color w:val="000000" w:themeColor="text1"/>
          <w:shd w:val="clear" w:color="auto" w:fill="FAFAFA"/>
        </w:rPr>
      </w:pPr>
      <w:r w:rsidRPr="006E7F76">
        <w:rPr>
          <w:color w:val="000000" w:themeColor="text1"/>
        </w:rPr>
        <w:t>La valeur tutélaire est une valeur utilisée par la puissance publique pour guider ses investissements</w:t>
      </w:r>
      <w:r>
        <w:rPr>
          <w:color w:val="000000" w:themeColor="text1"/>
        </w:rPr>
        <w:t xml:space="preserve">, et </w:t>
      </w:r>
      <w:r w:rsidRPr="006E7F76">
        <w:rPr>
          <w:color w:val="000000" w:themeColor="text1"/>
        </w:rPr>
        <w:t>que ces derniers contribuent à l’intérêt général. Il existe des valeurs tutélaires pour la vie humaine, le bruit, le carbone, etc.</w:t>
      </w:r>
      <w:r>
        <w:rPr>
          <w:color w:val="000000" w:themeColor="text1"/>
        </w:rPr>
        <w:t xml:space="preserve"> Une valeur tutélaire n’est pas le résultat d’un calcul abstrait de technocrates et/ou d’économistes</w:t>
      </w:r>
      <w:r w:rsidR="00754EA9">
        <w:rPr>
          <w:color w:val="000000" w:themeColor="text1"/>
        </w:rPr>
        <w:t>,</w:t>
      </w:r>
      <w:r>
        <w:rPr>
          <w:color w:val="000000" w:themeColor="text1"/>
        </w:rPr>
        <w:t xml:space="preserve"> mais celui d’une négociation dans laquelle s’exprime</w:t>
      </w:r>
      <w:r w:rsidR="00754EA9">
        <w:rPr>
          <w:color w:val="000000" w:themeColor="text1"/>
        </w:rPr>
        <w:t>nt</w:t>
      </w:r>
      <w:r>
        <w:rPr>
          <w:color w:val="000000" w:themeColor="text1"/>
        </w:rPr>
        <w:t xml:space="preserve"> (et s’affrontent) des représentations sociales, des méthodes alternatives de calcul économique et des rapports de forces.</w:t>
      </w:r>
      <w:r w:rsidRPr="006E7F76">
        <w:rPr>
          <w:color w:val="000000" w:themeColor="text1"/>
        </w:rPr>
        <w:t xml:space="preserve"> </w:t>
      </w:r>
      <w:r>
        <w:rPr>
          <w:color w:val="000000" w:themeColor="text1"/>
        </w:rPr>
        <w:t xml:space="preserve">Ces valeurs sont toujours le résultat d’un compromis entre divers points de vue – portés par des associations, des syndicats, des organisations patronales, des scientifiques, etc. </w:t>
      </w:r>
      <w:r w:rsidR="0059476C">
        <w:rPr>
          <w:color w:val="000000" w:themeColor="text1"/>
        </w:rPr>
        <w:t>–</w:t>
      </w:r>
      <w:r>
        <w:rPr>
          <w:color w:val="000000" w:themeColor="text1"/>
        </w:rPr>
        <w:t xml:space="preserve"> sur un objet social, et elles</w:t>
      </w:r>
      <w:r w:rsidRPr="006E7F76">
        <w:rPr>
          <w:color w:val="000000" w:themeColor="text1"/>
        </w:rPr>
        <w:t xml:space="preserve"> permettent de compléter les valeurs marchandes. </w:t>
      </w:r>
      <w:r w:rsidR="0059476C">
        <w:rPr>
          <w:color w:val="000000" w:themeColor="text1"/>
        </w:rPr>
        <w:t>À</w:t>
      </w:r>
      <w:r w:rsidRPr="006E7F76">
        <w:rPr>
          <w:color w:val="000000" w:themeColor="text1"/>
        </w:rPr>
        <w:t xml:space="preserve"> titre d’exemple, la justification de la construction d’une autoroute est </w:t>
      </w:r>
      <w:r>
        <w:rPr>
          <w:color w:val="000000" w:themeColor="text1"/>
        </w:rPr>
        <w:t xml:space="preserve">avant tout </w:t>
      </w:r>
      <w:r w:rsidRPr="006E7F76">
        <w:rPr>
          <w:color w:val="000000" w:themeColor="text1"/>
        </w:rPr>
        <w:t xml:space="preserve">fondée sur les gains en temps </w:t>
      </w:r>
      <w:r>
        <w:rPr>
          <w:color w:val="000000" w:themeColor="text1"/>
        </w:rPr>
        <w:t>et</w:t>
      </w:r>
      <w:r w:rsidRPr="006E7F76">
        <w:rPr>
          <w:color w:val="000000" w:themeColor="text1"/>
        </w:rPr>
        <w:t xml:space="preserve"> la réduction du nombre de morts. Autant de bénéfices sociaux qui ne sont pas de nature directement marchande. Mais la puissance publique veut aussi intégrer dans ce calcul les coûts sociaux </w:t>
      </w:r>
      <w:r>
        <w:rPr>
          <w:color w:val="000000" w:themeColor="text1"/>
        </w:rPr>
        <w:t>de ce type de projet et pas uniquement les bénéfices,</w:t>
      </w:r>
      <w:r w:rsidRPr="006E7F76">
        <w:rPr>
          <w:color w:val="000000" w:themeColor="text1"/>
        </w:rPr>
        <w:t xml:space="preserve"> comme l’accroissement du bruit dans certaines zones, l’augmentation des émissions de gaz à effet de serre ou la destruction de la biodiversité. </w:t>
      </w:r>
    </w:p>
    <w:p w14:paraId="112C7424" w14:textId="6B1BAA62" w:rsidR="00770CEB" w:rsidRPr="00205CE5" w:rsidRDefault="00770CEB" w:rsidP="00205CE5">
      <w:pPr>
        <w:pStyle w:val="VDIEncadr"/>
        <w:rPr>
          <w:rFonts w:eastAsia="Times New Roman"/>
        </w:rPr>
      </w:pPr>
      <w:r w:rsidRPr="006E7F76">
        <w:t xml:space="preserve">L’État utilise ainsi une valeur tutélaire pour la vie humaine qui est de 3 millions d’euros </w:t>
      </w:r>
      <w:r>
        <w:t>(</w:t>
      </w:r>
      <w:r w:rsidRPr="006E7F76">
        <w:t>2010</w:t>
      </w:r>
      <w:r>
        <w:t>)</w:t>
      </w:r>
      <w:r w:rsidRPr="006E7F76">
        <w:t>, une valeur du carbone de 32 € (2010) la tonne</w:t>
      </w:r>
      <w:r>
        <w:t>, une valeur pour l</w:t>
      </w:r>
      <w:r w:rsidRPr="006E7F76">
        <w:t xml:space="preserve">es nuisances sonores </w:t>
      </w:r>
      <w:r>
        <w:t>qui oscille entre</w:t>
      </w:r>
      <w:r w:rsidRPr="006E7F76">
        <w:t xml:space="preserve"> 0,2€ par voiture et par kilomètre pour une route nationale </w:t>
      </w:r>
      <w:r>
        <w:t>et</w:t>
      </w:r>
      <w:r w:rsidRPr="006E7F76">
        <w:t xml:space="preserve"> 98,6€ </w:t>
      </w:r>
      <w:r>
        <w:t>en milieu</w:t>
      </w:r>
      <w:r w:rsidRPr="006E7F76">
        <w:t xml:space="preserve"> urbain très dense. La valeur du temps</w:t>
      </w:r>
      <w:r>
        <w:t xml:space="preserve"> est quant à elle calculée à partir d’un référentiel simple : le salaire horaire moyen des utilisateurs de l’infrastructure de transport. Cela conduit à des valeurs qui vont de</w:t>
      </w:r>
      <w:r w:rsidRPr="006E7F76">
        <w:t xml:space="preserve"> 8€ pour un déplacement sans motif lorsqu’il est réalisé n’importe où en France à 22€ pour un déplacement professionnel en Île-de-France</w:t>
      </w:r>
      <w:r w:rsidRPr="006E7F76">
        <w:rPr>
          <w:rStyle w:val="Appelnotedebasdep"/>
          <w:rFonts w:ascii="Times New Roman" w:hAnsi="Times New Roman" w:cs="Times New Roman"/>
        </w:rPr>
        <w:footnoteReference w:id="8"/>
      </w:r>
      <w:r w:rsidRPr="006E7F76">
        <w:t xml:space="preserve">. </w:t>
      </w:r>
    </w:p>
    <w:p w14:paraId="799F0774" w14:textId="3F813876" w:rsidR="00770CEB" w:rsidRPr="00205CE5" w:rsidRDefault="00770CEB" w:rsidP="00205CE5">
      <w:pPr>
        <w:pStyle w:val="Corps"/>
      </w:pPr>
      <w:r w:rsidRPr="006E7F76">
        <w:t>Une première tentative du calcul de la valeur tutélaire de la biodiversité</w:t>
      </w:r>
      <w:r>
        <w:t xml:space="preserve">, </w:t>
      </w:r>
      <w:r w:rsidRPr="006E7F76">
        <w:t xml:space="preserve">intitulée </w:t>
      </w:r>
      <w:r w:rsidRPr="006E7F76">
        <w:rPr>
          <w:i/>
        </w:rPr>
        <w:t xml:space="preserve">Approche </w:t>
      </w:r>
      <w:proofErr w:type="spellStart"/>
      <w:r w:rsidRPr="006E7F76">
        <w:rPr>
          <w:i/>
        </w:rPr>
        <w:t>économique</w:t>
      </w:r>
      <w:proofErr w:type="spellEnd"/>
      <w:r w:rsidRPr="006E7F76">
        <w:rPr>
          <w:i/>
        </w:rPr>
        <w:t xml:space="preserve"> de la </w:t>
      </w:r>
      <w:proofErr w:type="spellStart"/>
      <w:r w:rsidRPr="006E7F76">
        <w:rPr>
          <w:i/>
        </w:rPr>
        <w:t>biodiversite</w:t>
      </w:r>
      <w:proofErr w:type="spellEnd"/>
      <w:r w:rsidRPr="006E7F76">
        <w:rPr>
          <w:i/>
        </w:rPr>
        <w:t xml:space="preserve">́ et des services </w:t>
      </w:r>
      <w:proofErr w:type="spellStart"/>
      <w:r w:rsidRPr="006E7F76">
        <w:rPr>
          <w:i/>
        </w:rPr>
        <w:t>liés</w:t>
      </w:r>
      <w:proofErr w:type="spellEnd"/>
      <w:r w:rsidRPr="006E7F76">
        <w:rPr>
          <w:i/>
        </w:rPr>
        <w:t xml:space="preserve"> aux </w:t>
      </w:r>
      <w:proofErr w:type="spellStart"/>
      <w:r w:rsidRPr="006E7F76">
        <w:rPr>
          <w:i/>
        </w:rPr>
        <w:t>écosystèmes</w:t>
      </w:r>
      <w:proofErr w:type="spellEnd"/>
      <w:r>
        <w:t>,</w:t>
      </w:r>
      <w:r w:rsidRPr="006E7F76">
        <w:t xml:space="preserve"> a été réalisé en 2009 par le Centre d’analyse stratégique (CAS) (</w:t>
      </w:r>
      <w:proofErr w:type="spellStart"/>
      <w:r w:rsidRPr="006E7F76">
        <w:t>Chevassus</w:t>
      </w:r>
      <w:proofErr w:type="spellEnd"/>
      <w:r w:rsidRPr="006E7F76">
        <w:t xml:space="preserve">-au-Louis </w:t>
      </w:r>
      <w:r w:rsidRPr="006E7F76">
        <w:rPr>
          <w:i/>
        </w:rPr>
        <w:t>et al.,</w:t>
      </w:r>
      <w:r w:rsidRPr="006E7F76">
        <w:t xml:space="preserve"> 2009). L’idée était d’estimer la valeur des services écosystémiques fournis par les habitats naturels ou semi-naturels du territoire français. La méthode de travail s’inspirait des travaux menés sur le sujet depuis la fin des années 1990. Compte tenu </w:t>
      </w:r>
      <w:r w:rsidRPr="006E7F76">
        <w:lastRenderedPageBreak/>
        <w:t xml:space="preserve">du manque de données, le rapport n’a proposé des valeurs de référence que pour les forêts françaises. </w:t>
      </w:r>
      <w:r>
        <w:t>U</w:t>
      </w:r>
      <w:r w:rsidRPr="006E7F76">
        <w:t xml:space="preserve">n calcul a été fait à partir des services écosystémiques suivants : production de bois (75€/ha.), fixation de carbone (115€/ha.), stockage de carbone (414€/ha.), régulation de la qualité de l’eau (90€ /ha.), fourniture d’espace pour les promenades (200€ / ha.), fourniture de zones de chasse (55€/ha.), production forestière autre que le bois et le gibier (10€/ha.). </w:t>
      </w:r>
      <w:r>
        <w:t>Additionnés, l</w:t>
      </w:r>
      <w:r w:rsidRPr="006E7F76">
        <w:t>es bénéfices annuels générés par ce type d’écosystème ont été évalués à 970 € par hectare, correspondant à une valeur actualisée nette pour un hectare de forêt française de 35 000 euros.</w:t>
      </w:r>
    </w:p>
    <w:p w14:paraId="64EDE64C" w14:textId="371F1BFB" w:rsidR="00770CEB" w:rsidRPr="00770CEB" w:rsidRDefault="00770CEB" w:rsidP="00770CEB">
      <w:pPr>
        <w:pStyle w:val="VDIEncadr"/>
        <w:rPr>
          <w:b/>
          <w:bCs/>
        </w:rPr>
      </w:pPr>
      <w:r w:rsidRPr="00770CEB">
        <w:rPr>
          <w:b/>
          <w:bCs/>
        </w:rPr>
        <w:t>Mesurer la valeur de la biodiversité – d’un écosystème à l’autre</w:t>
      </w:r>
    </w:p>
    <w:p w14:paraId="15A8E6E0" w14:textId="2918AD23" w:rsidR="00770CEB" w:rsidRPr="006E7F76" w:rsidRDefault="00770CEB" w:rsidP="00770CEB">
      <w:pPr>
        <w:pStyle w:val="VDIEncadr"/>
        <w:rPr>
          <w:bCs/>
        </w:rPr>
      </w:pPr>
      <w:r w:rsidRPr="006E7F76">
        <w:t xml:space="preserve">Des exercices d’évaluation monétaire de la biodiversité ont été réalisés depuis la fin des années 1990. </w:t>
      </w:r>
      <w:r>
        <w:rPr>
          <w:bCs/>
        </w:rPr>
        <w:t>D</w:t>
      </w:r>
      <w:r w:rsidRPr="006E7F76">
        <w:rPr>
          <w:bCs/>
        </w:rPr>
        <w:t xml:space="preserve">eux </w:t>
      </w:r>
      <w:r>
        <w:rPr>
          <w:bCs/>
        </w:rPr>
        <w:t>d’entre eux</w:t>
      </w:r>
      <w:r w:rsidRPr="006E7F76">
        <w:rPr>
          <w:bCs/>
        </w:rPr>
        <w:t xml:space="preserve"> peuvent </w:t>
      </w:r>
      <w:r>
        <w:rPr>
          <w:bCs/>
        </w:rPr>
        <w:t xml:space="preserve">notamment </w:t>
      </w:r>
      <w:r w:rsidRPr="006E7F76">
        <w:rPr>
          <w:bCs/>
        </w:rPr>
        <w:t xml:space="preserve">être mentionnés : l’évaluation par Costanza </w:t>
      </w:r>
      <w:r w:rsidRPr="006E7F76">
        <w:rPr>
          <w:bCs/>
          <w:i/>
        </w:rPr>
        <w:t>et al.</w:t>
      </w:r>
      <w:r w:rsidRPr="006E7F76">
        <w:rPr>
          <w:bCs/>
        </w:rPr>
        <w:t xml:space="preserve"> (1997) des bénéfices fournis par la biosphère ; </w:t>
      </w:r>
      <w:r>
        <w:rPr>
          <w:bCs/>
        </w:rPr>
        <w:t xml:space="preserve">et </w:t>
      </w:r>
      <w:r w:rsidRPr="006E7F76">
        <w:rPr>
          <w:bCs/>
        </w:rPr>
        <w:t>le calcul du coût d</w:t>
      </w:r>
      <w:r>
        <w:rPr>
          <w:bCs/>
        </w:rPr>
        <w:t>e l</w:t>
      </w:r>
      <w:r w:rsidRPr="006E7F76">
        <w:rPr>
          <w:bCs/>
        </w:rPr>
        <w:t>’inaction politique en matière de conservation de la biodiversité, réalisé par le programme TEEB (</w:t>
      </w:r>
      <w:r w:rsidRPr="006E7F76">
        <w:rPr>
          <w:bCs/>
          <w:i/>
        </w:rPr>
        <w:t xml:space="preserve">The </w:t>
      </w:r>
      <w:proofErr w:type="spellStart"/>
      <w:r w:rsidRPr="006E7F76">
        <w:rPr>
          <w:bCs/>
          <w:i/>
        </w:rPr>
        <w:t>Economics</w:t>
      </w:r>
      <w:proofErr w:type="spellEnd"/>
      <w:r w:rsidRPr="006E7F76">
        <w:rPr>
          <w:bCs/>
          <w:i/>
        </w:rPr>
        <w:t xml:space="preserve"> of </w:t>
      </w:r>
      <w:proofErr w:type="spellStart"/>
      <w:r w:rsidRPr="006E7F76">
        <w:rPr>
          <w:bCs/>
          <w:i/>
        </w:rPr>
        <w:t>Ecoystems</w:t>
      </w:r>
      <w:proofErr w:type="spellEnd"/>
      <w:r w:rsidRPr="006E7F76">
        <w:rPr>
          <w:bCs/>
          <w:i/>
        </w:rPr>
        <w:t xml:space="preserve"> and </w:t>
      </w:r>
      <w:proofErr w:type="spellStart"/>
      <w:r w:rsidRPr="006E7F76">
        <w:rPr>
          <w:bCs/>
          <w:i/>
        </w:rPr>
        <w:t>Biodiversity</w:t>
      </w:r>
      <w:proofErr w:type="spellEnd"/>
      <w:r w:rsidRPr="006E7F76">
        <w:rPr>
          <w:bCs/>
        </w:rPr>
        <w:t xml:space="preserve">, 2010). Dans ces deux cas, </w:t>
      </w:r>
      <w:r>
        <w:rPr>
          <w:bCs/>
        </w:rPr>
        <w:t>c</w:t>
      </w:r>
      <w:r w:rsidRPr="006E7F76">
        <w:rPr>
          <w:bCs/>
        </w:rPr>
        <w:t xml:space="preserve">es </w:t>
      </w:r>
      <w:r>
        <w:rPr>
          <w:bCs/>
        </w:rPr>
        <w:t>travaux</w:t>
      </w:r>
      <w:r w:rsidRPr="006E7F76">
        <w:rPr>
          <w:bCs/>
        </w:rPr>
        <w:t xml:space="preserve"> se sont voulus exhaustifs, c’est-à-dire </w:t>
      </w:r>
      <w:r>
        <w:rPr>
          <w:bCs/>
        </w:rPr>
        <w:t>prenant</w:t>
      </w:r>
      <w:r w:rsidRPr="006E7F76">
        <w:rPr>
          <w:bCs/>
        </w:rPr>
        <w:t xml:space="preserve"> en compte toutes les formes de valeurs associées à la biodiversité : valeurs d’usage direct (la pêche par exemple), d’usage indirect (la filtration de l’eau par exemple), mais aussi de non</w:t>
      </w:r>
      <w:r w:rsidR="00754EA9">
        <w:rPr>
          <w:bCs/>
        </w:rPr>
        <w:t>-</w:t>
      </w:r>
      <w:r w:rsidRPr="006E7F76">
        <w:rPr>
          <w:bCs/>
        </w:rPr>
        <w:t>usage (la valeur de l’existence de l’ours polaire pour lui-même par exemple). Ceci est nécessaire pour obtenir la Valeur économique totale (VET) de la biodiversité</w:t>
      </w:r>
      <w:r>
        <w:rPr>
          <w:bCs/>
        </w:rPr>
        <w:t>.</w:t>
      </w:r>
      <w:r w:rsidRPr="006E7F76">
        <w:rPr>
          <w:bCs/>
        </w:rPr>
        <w:t xml:space="preserve"> La VET est estimée en utilisant les mathématiques financières</w:t>
      </w:r>
      <w:r>
        <w:rPr>
          <w:bCs/>
        </w:rPr>
        <w:t xml:space="preserve"> (voir exemple des forêts ci-dessus)</w:t>
      </w:r>
      <w:r w:rsidRPr="006E7F76">
        <w:rPr>
          <w:bCs/>
        </w:rPr>
        <w:t xml:space="preserve">. </w:t>
      </w:r>
    </w:p>
    <w:p w14:paraId="28089527" w14:textId="32B6DB60" w:rsidR="00770CEB" w:rsidRPr="00205CE5" w:rsidRDefault="00770CEB" w:rsidP="00205CE5">
      <w:pPr>
        <w:pStyle w:val="VDIEncadr"/>
      </w:pPr>
      <w:r w:rsidRPr="006E7F76">
        <w:rPr>
          <w:bCs/>
        </w:rPr>
        <w:t>Pour obtenir ces valeurs</w:t>
      </w:r>
      <w:r>
        <w:rPr>
          <w:bCs/>
        </w:rPr>
        <w:t>,</w:t>
      </w:r>
      <w:r w:rsidRPr="006E7F76">
        <w:rPr>
          <w:bCs/>
        </w:rPr>
        <w:t xml:space="preserve"> Costanza et </w:t>
      </w:r>
      <w:r>
        <w:rPr>
          <w:bCs/>
        </w:rPr>
        <w:t xml:space="preserve">ses </w:t>
      </w:r>
      <w:r w:rsidRPr="006E7F76">
        <w:rPr>
          <w:bCs/>
        </w:rPr>
        <w:t>collaborateurs</w:t>
      </w:r>
      <w:r>
        <w:rPr>
          <w:bCs/>
        </w:rPr>
        <w:t xml:space="preserve"> ainsi que</w:t>
      </w:r>
      <w:r w:rsidRPr="006E7F76">
        <w:rPr>
          <w:bCs/>
        </w:rPr>
        <w:t xml:space="preserve"> le programme TEEB, ont eu recours </w:t>
      </w:r>
      <w:r>
        <w:rPr>
          <w:bCs/>
        </w:rPr>
        <w:t>à la</w:t>
      </w:r>
      <w:r w:rsidRPr="006E7F76">
        <w:rPr>
          <w:bCs/>
        </w:rPr>
        <w:t xml:space="preserve"> même </w:t>
      </w:r>
      <w:r>
        <w:rPr>
          <w:bCs/>
        </w:rPr>
        <w:t>« </w:t>
      </w:r>
      <w:r w:rsidRPr="006E7F76">
        <w:rPr>
          <w:bCs/>
        </w:rPr>
        <w:t>méthode</w:t>
      </w:r>
      <w:r>
        <w:rPr>
          <w:bCs/>
        </w:rPr>
        <w:t xml:space="preserve"> de</w:t>
      </w:r>
      <w:r w:rsidRPr="006E7F76">
        <w:rPr>
          <w:bCs/>
        </w:rPr>
        <w:t xml:space="preserve"> transfert des bénéfices</w:t>
      </w:r>
      <w:r>
        <w:rPr>
          <w:bCs/>
        </w:rPr>
        <w:t> »</w:t>
      </w:r>
      <w:r w:rsidRPr="006E7F76">
        <w:rPr>
          <w:bCs/>
        </w:rPr>
        <w:t xml:space="preserve">. </w:t>
      </w:r>
      <w:r>
        <w:t>Elle</w:t>
      </w:r>
      <w:r w:rsidRPr="006E7F76">
        <w:t xml:space="preserve"> consiste à accorder une valeur monétaire aux services écosystémiques fournis par un écosystème donné à partir de la transposition de valeurs déjà obtenues </w:t>
      </w:r>
      <w:r w:rsidRPr="00F22462">
        <w:rPr>
          <w:i/>
        </w:rPr>
        <w:t>ailleurs</w:t>
      </w:r>
      <w:r>
        <w:t xml:space="preserve"> </w:t>
      </w:r>
      <w:r w:rsidRPr="006E7F76">
        <w:t xml:space="preserve">pour le même type d’écosystèmes (ce qui permet d’éviter de devoir collecter de nombreuses données sur le terrain), en essayant d’ajuster cette valeur au contexte à la fois biophysique et socio-économique du territoire </w:t>
      </w:r>
      <w:r>
        <w:t>évalué</w:t>
      </w:r>
      <w:r w:rsidRPr="006E7F76">
        <w:t>. Plusieurs bases de données permettent de récupérer ces valeurs. La base de données EVRI (</w:t>
      </w:r>
      <w:proofErr w:type="spellStart"/>
      <w:r w:rsidRPr="006E7F76">
        <w:rPr>
          <w:i/>
        </w:rPr>
        <w:t>Environmental</w:t>
      </w:r>
      <w:proofErr w:type="spellEnd"/>
      <w:r w:rsidRPr="006E7F76">
        <w:rPr>
          <w:i/>
        </w:rPr>
        <w:t xml:space="preserve"> </w:t>
      </w:r>
      <w:proofErr w:type="spellStart"/>
      <w:r w:rsidRPr="006E7F76">
        <w:rPr>
          <w:i/>
        </w:rPr>
        <w:t>Valuation</w:t>
      </w:r>
      <w:proofErr w:type="spellEnd"/>
      <w:r w:rsidRPr="006E7F76">
        <w:rPr>
          <w:i/>
        </w:rPr>
        <w:t xml:space="preserve"> Reference Inventory</w:t>
      </w:r>
      <w:r w:rsidRPr="006E7F76">
        <w:t>), alimentée de manière volontaire par les scientifiques qui travaillent sur l’évaluation économique de l’environnement, est la plus connue d’entre elles. Pour autant, l’usage de ces bases de données est très délicat</w:t>
      </w:r>
      <w:r w:rsidR="00754EA9">
        <w:t>,</w:t>
      </w:r>
      <w:r w:rsidRPr="006E7F76">
        <w:t xml:space="preserve"> car les valeurs qu’on y trouve ont été obtenues à partir de méthodes de calcul économique très différentes (sur lesquelles nous ne revenons pas ici) et qui n’ont donc pas les mêmes significations. Mais on comprend </w:t>
      </w:r>
      <w:r w:rsidRPr="006E7F76">
        <w:lastRenderedPageBreak/>
        <w:t xml:space="preserve">bien que c’est le pragmatisme qui guide ces pratiques. </w:t>
      </w:r>
      <w:r>
        <w:t>Cependant</w:t>
      </w:r>
      <w:r w:rsidRPr="006E7F76">
        <w:t xml:space="preserve">, les informations disponibles restent souvent trop partielles et ne répondent pas aux exigences techniques qui permettent de transposer les valeurs en question. Ainsi, dans l’exercice du TEEB, seules 3 études issues de la base EVRI pourront au bout du compte être intégrées dans l’évaluation (sur les 1250 études disponibles à l’époque). Malgré ces limites, les </w:t>
      </w:r>
      <w:r>
        <w:t>auteurs de ces études ont proposé, avec ces méthodes, des estimations</w:t>
      </w:r>
      <w:r w:rsidRPr="006E7F76">
        <w:t xml:space="preserve"> </w:t>
      </w:r>
      <w:r>
        <w:t xml:space="preserve">de </w:t>
      </w:r>
      <w:r w:rsidRPr="006E7F76">
        <w:t>la valeur des bénéfices annuels fournis par les écosystèmes naturels</w:t>
      </w:r>
      <w:r>
        <w:t xml:space="preserve"> à l’échelle planétaire </w:t>
      </w:r>
      <w:r w:rsidR="00205CE5">
        <w:t>–</w:t>
      </w:r>
      <w:r>
        <w:t xml:space="preserve"> </w:t>
      </w:r>
      <w:r w:rsidRPr="006E7F76">
        <w:rPr>
          <w:bCs/>
        </w:rPr>
        <w:t>33 000 milliards de dollars (Costanza et al., 1997)</w:t>
      </w:r>
      <w:r>
        <w:rPr>
          <w:bCs/>
        </w:rPr>
        <w:t xml:space="preserve"> </w:t>
      </w:r>
      <w:r w:rsidR="00205CE5">
        <w:rPr>
          <w:bCs/>
        </w:rPr>
        <w:t>–</w:t>
      </w:r>
      <w:r>
        <w:rPr>
          <w:bCs/>
        </w:rPr>
        <w:t xml:space="preserve"> du</w:t>
      </w:r>
      <w:r w:rsidRPr="006E7F76">
        <w:rPr>
          <w:bCs/>
        </w:rPr>
        <w:t xml:space="preserve"> coût de l’inaction politique </w:t>
      </w:r>
      <w:r w:rsidR="00205CE5">
        <w:rPr>
          <w:bCs/>
        </w:rPr>
        <w:t>–</w:t>
      </w:r>
      <w:r w:rsidRPr="006E7F76">
        <w:rPr>
          <w:bCs/>
        </w:rPr>
        <w:t xml:space="preserve"> 14 000 milliards de dollars (TEEB, 2010).</w:t>
      </w:r>
    </w:p>
    <w:p w14:paraId="6C4EB70E" w14:textId="199546FA" w:rsidR="00770CEB" w:rsidRPr="006E7F76" w:rsidRDefault="00770CEB" w:rsidP="00770CEB">
      <w:pPr>
        <w:pStyle w:val="Corps"/>
      </w:pPr>
      <w:r>
        <w:t>C</w:t>
      </w:r>
      <w:r w:rsidRPr="006E7F76">
        <w:t>es techniques d’évaluation monétaire des services fournis par la biodiversité pose</w:t>
      </w:r>
      <w:r>
        <w:t>nt</w:t>
      </w:r>
      <w:r w:rsidRPr="006E7F76">
        <w:t xml:space="preserve"> de gros problèmes. Ainsi, dans le cadre de l’exercice du CAS, il est délicat d’interpréter le sens des 970 € de bénéfices fournis annuellement par un hectare de forêt française compte</w:t>
      </w:r>
      <w:r w:rsidR="00205CE5">
        <w:t xml:space="preserve"> </w:t>
      </w:r>
      <w:r w:rsidRPr="006E7F76">
        <w:t xml:space="preserve">tenu de l’absence de prise en compte de nombreux services écosystémiques : protection contre les crues, pollinisation, réduction de l’érosion des sols… </w:t>
      </w:r>
      <w:r>
        <w:t>La</w:t>
      </w:r>
      <w:r w:rsidRPr="006E7F76">
        <w:t xml:space="preserve"> valeur reste incomplète. Et c’est normal. Il n’est jamais possible de prendre en compte l’ensemble des valeurs d’un écosystème. </w:t>
      </w:r>
      <w:r>
        <w:t>Les défenseurs de cette méthode soulignent que l</w:t>
      </w:r>
      <w:r w:rsidRPr="006E7F76">
        <w:t xml:space="preserve">’objectif d’une valeur tutélaire n’est pas de pouvoir adopter une valeur qui reflète </w:t>
      </w:r>
      <w:r>
        <w:t>parfaitement</w:t>
      </w:r>
      <w:r w:rsidRPr="006E7F76">
        <w:t xml:space="preserve"> l’ensemble des externalités liées à la biodiversité, mais de pouvoir faciliter des comparaisons avec d’autres valeurs</w:t>
      </w:r>
      <w:r w:rsidRPr="006E7F76">
        <w:rPr>
          <w:bCs/>
        </w:rPr>
        <w:t>. Pour autant, si la valeur est beaucoup plus incomplète que celles attribuées au temps</w:t>
      </w:r>
      <w:r>
        <w:rPr>
          <w:bCs/>
        </w:rPr>
        <w:t xml:space="preserve"> par exemple</w:t>
      </w:r>
      <w:r w:rsidRPr="006E7F76">
        <w:rPr>
          <w:bCs/>
        </w:rPr>
        <w:t xml:space="preserve">, alors </w:t>
      </w:r>
      <w:r>
        <w:rPr>
          <w:bCs/>
        </w:rPr>
        <w:t>la biodiversité</w:t>
      </w:r>
      <w:r w:rsidRPr="006E7F76">
        <w:rPr>
          <w:bCs/>
        </w:rPr>
        <w:t xml:space="preserve"> </w:t>
      </w:r>
      <w:r>
        <w:rPr>
          <w:bCs/>
        </w:rPr>
        <w:t>sera la grande</w:t>
      </w:r>
      <w:r w:rsidRPr="006E7F76">
        <w:rPr>
          <w:bCs/>
        </w:rPr>
        <w:t xml:space="preserve"> perdante de ce</w:t>
      </w:r>
      <w:r>
        <w:rPr>
          <w:bCs/>
        </w:rPr>
        <w:t>s</w:t>
      </w:r>
      <w:r w:rsidRPr="006E7F76">
        <w:rPr>
          <w:bCs/>
        </w:rPr>
        <w:t xml:space="preserve"> exercice</w:t>
      </w:r>
      <w:r>
        <w:rPr>
          <w:bCs/>
        </w:rPr>
        <w:t>s d’évaluation</w:t>
      </w:r>
      <w:r w:rsidRPr="006E7F76">
        <w:rPr>
          <w:bCs/>
        </w:rPr>
        <w:t xml:space="preserve">. </w:t>
      </w:r>
      <w:r>
        <w:rPr>
          <w:bCs/>
        </w:rPr>
        <w:t xml:space="preserve">Cela manifeste </w:t>
      </w:r>
      <w:r w:rsidRPr="006E7F76">
        <w:rPr>
          <w:bCs/>
        </w:rPr>
        <w:t xml:space="preserve">une tension entre une exigence de prise en compte de l’ensemble des valeurs économiques de la biodiversité et le manque de robustesse des méthodes mobilisées pour </w:t>
      </w:r>
      <w:r>
        <w:rPr>
          <w:bCs/>
        </w:rPr>
        <w:t xml:space="preserve">la </w:t>
      </w:r>
      <w:r w:rsidRPr="006E7F76">
        <w:rPr>
          <w:bCs/>
        </w:rPr>
        <w:t>calculer</w:t>
      </w:r>
      <w:r>
        <w:rPr>
          <w:bCs/>
        </w:rPr>
        <w:t xml:space="preserve"> dans son intégralité</w:t>
      </w:r>
      <w:r w:rsidRPr="006E7F76">
        <w:rPr>
          <w:bCs/>
        </w:rPr>
        <w:t xml:space="preserve">. </w:t>
      </w:r>
    </w:p>
    <w:p w14:paraId="5D666A4D" w14:textId="3044275B" w:rsidR="00770CEB" w:rsidRPr="00205CE5" w:rsidRDefault="00770CEB" w:rsidP="00205CE5">
      <w:pPr>
        <w:pStyle w:val="Corps"/>
      </w:pPr>
      <w:r>
        <w:t>La</w:t>
      </w:r>
      <w:r w:rsidRPr="006E7F76">
        <w:t xml:space="preserve"> biodiversité fournit une diversité de services à nos sociétés, comme souligné plus haut. Mais c’est justement cette diversité qui </w:t>
      </w:r>
      <w:r>
        <w:t>rend impossible le calcul d’</w:t>
      </w:r>
      <w:r w:rsidRPr="006E7F76">
        <w:t>une valeur exhaustive de la biodiversité</w:t>
      </w:r>
      <w:r>
        <w:t xml:space="preserve">, </w:t>
      </w:r>
      <w:r w:rsidRPr="006E7F76">
        <w:t>à partir de la somme des v</w:t>
      </w:r>
      <w:r>
        <w:t xml:space="preserve">aleurs de tous les </w:t>
      </w:r>
      <w:r w:rsidRPr="006E7F76">
        <w:t xml:space="preserve">services </w:t>
      </w:r>
      <w:r>
        <w:t xml:space="preserve">qu’elle </w:t>
      </w:r>
      <w:r w:rsidRPr="006E7F76">
        <w:t>fourni</w:t>
      </w:r>
      <w:r>
        <w:t>t, et</w:t>
      </w:r>
      <w:r w:rsidRPr="006E7F76">
        <w:t xml:space="preserve"> qui puisse être intégrée dans nos indicateurs de richesse économique. Cependant, il reste </w:t>
      </w:r>
      <w:r>
        <w:t>pertinent</w:t>
      </w:r>
      <w:r w:rsidRPr="006E7F76">
        <w:t xml:space="preserve"> de </w:t>
      </w:r>
      <w:r>
        <w:t>s’intéresser à</w:t>
      </w:r>
      <w:r w:rsidRPr="006E7F76">
        <w:t xml:space="preserve"> la perte de valeur monétaire associée à la destruction de certains services écosystémiques lorsque cela a un sens clair pour une activité précise. </w:t>
      </w:r>
      <w:r w:rsidR="00205CE5">
        <w:t>À</w:t>
      </w:r>
      <w:r w:rsidRPr="006E7F76">
        <w:t xml:space="preserve"> titre d’exemple il semble tout à fait pertinent de pouvoir proposer une évaluation monétaire de la perte de productivité d’une parcelle agricole lorsque des populations d’abeilles ont disparu. Il ne s’agit pas ici d’une évaluation de la valeur de ces abeilles</w:t>
      </w:r>
      <w:r w:rsidR="0059476C">
        <w:t>,</w:t>
      </w:r>
      <w:r w:rsidRPr="006E7F76">
        <w:t xml:space="preserve"> mais bien d’une évaluation d’un service spécifique ayant un sens spécifique pour une activité économique donnée</w:t>
      </w:r>
      <w:r>
        <w:t xml:space="preserve"> : une valeur </w:t>
      </w:r>
      <w:r>
        <w:lastRenderedPageBreak/>
        <w:t>d’usage bien délimitée</w:t>
      </w:r>
      <w:r w:rsidRPr="006E7F76">
        <w:t xml:space="preserve">. </w:t>
      </w:r>
      <w:r>
        <w:t xml:space="preserve">Ce qui est à bannir des exercices d’évaluation économique de la biodiversité, ce sont les estimations des valeurs d’existence de la biodiversité n’ayant aucun rapport avec l’économie réelle, les méthodes de transfert de bénéfices dont les carences ont été largement démontrées et l’agrégation de valeurs hétérogènes visant à obtenir une VET dont on sait qu’elle génère systématiquement une sous-estimation de la valeur de la biodiversité. </w:t>
      </w:r>
    </w:p>
    <w:p w14:paraId="1AC0FE97" w14:textId="18CA939A" w:rsidR="00770CEB" w:rsidRPr="00205CE5" w:rsidRDefault="00770CEB" w:rsidP="00205CE5">
      <w:pPr>
        <w:pStyle w:val="VDIIntertitre"/>
      </w:pPr>
      <w:r>
        <w:t>Valeur financière vs coût de maintien de la biodiversité.</w:t>
      </w:r>
    </w:p>
    <w:p w14:paraId="78F399F4" w14:textId="6667874F" w:rsidR="00770CEB" w:rsidRDefault="00770CEB" w:rsidP="00770CEB">
      <w:pPr>
        <w:pStyle w:val="Corps"/>
      </w:pPr>
      <w:r w:rsidRPr="006E7F76">
        <w:t xml:space="preserve">Deux options s’offrent finalement </w:t>
      </w:r>
      <w:r>
        <w:t>pour</w:t>
      </w:r>
      <w:r w:rsidRPr="006E7F76">
        <w:t xml:space="preserve"> une évaluation de la valeur économique de la biodiversité : se focaliser sur les valeurs</w:t>
      </w:r>
      <w:r>
        <w:t xml:space="preserve"> d’usage</w:t>
      </w:r>
      <w:r w:rsidRPr="006E7F76">
        <w:t xml:space="preserve">, mais obtenir une évaluation partielle ; </w:t>
      </w:r>
      <w:r>
        <w:t xml:space="preserve">ou bien </w:t>
      </w:r>
      <w:r w:rsidRPr="006E7F76">
        <w:t xml:space="preserve">prendre en compte toutes les valeurs de la biodiversité, mais avoir un montant qui a peu de sens d’un point de vue opérationnel. Dans les deux cas, </w:t>
      </w:r>
      <w:r>
        <w:t xml:space="preserve">on peut </w:t>
      </w:r>
      <w:r w:rsidRPr="006E7F76">
        <w:t xml:space="preserve">ressentir une certaine frustration : soit </w:t>
      </w:r>
      <w:r>
        <w:t>du fait du</w:t>
      </w:r>
      <w:r w:rsidRPr="006E7F76">
        <w:t xml:space="preserve"> caractère partiel du résultat obtenu ; soit parce que l’évaluation des services écosystémiques a été</w:t>
      </w:r>
      <w:r>
        <w:t xml:space="preserve"> en principe</w:t>
      </w:r>
      <w:r w:rsidRPr="006E7F76">
        <w:t xml:space="preserve"> exhaustive</w:t>
      </w:r>
      <w:r>
        <w:t xml:space="preserve">, </w:t>
      </w:r>
      <w:r w:rsidRPr="006E7F76">
        <w:t xml:space="preserve">mais </w:t>
      </w:r>
      <w:r>
        <w:t xml:space="preserve">repose sur </w:t>
      </w:r>
      <w:r w:rsidRPr="006E7F76">
        <w:t xml:space="preserve">des méthodes </w:t>
      </w:r>
      <w:r>
        <w:t>qui peuvent être contestées.</w:t>
      </w:r>
      <w:r w:rsidRPr="006E7F76">
        <w:t xml:space="preserve"> C’est ce qui s’est passé dans les années 1990 aux États-Unis</w:t>
      </w:r>
      <w:r>
        <w:t> :</w:t>
      </w:r>
      <w:r w:rsidRPr="006E7F76">
        <w:t xml:space="preserve"> </w:t>
      </w:r>
      <w:r>
        <w:t>l</w:t>
      </w:r>
      <w:r w:rsidRPr="006E7F76">
        <w:t xml:space="preserve">es évaluations monétaires de la biodiversité fondées sur les consentements à payer des populations, et qui permettaient de justifier du montant d’un préjudice écologique dans le cadre des marées noires, </w:t>
      </w:r>
      <w:r>
        <w:t>ont</w:t>
      </w:r>
      <w:r w:rsidRPr="006E7F76">
        <w:t xml:space="preserve"> toujours</w:t>
      </w:r>
      <w:r>
        <w:t xml:space="preserve"> été</w:t>
      </w:r>
      <w:r w:rsidRPr="006E7F76">
        <w:t xml:space="preserve"> refusé</w:t>
      </w:r>
      <w:r>
        <w:t>e</w:t>
      </w:r>
      <w:r w:rsidRPr="006E7F76">
        <w:t xml:space="preserve">s par les </w:t>
      </w:r>
      <w:r>
        <w:t xml:space="preserve">tribunaux </w:t>
      </w:r>
      <w:r w:rsidRPr="006E7F76">
        <w:t>(</w:t>
      </w:r>
      <w:r>
        <w:t xml:space="preserve">sauf pour le cas de l’Exxon Valdez ; </w:t>
      </w:r>
      <w:r w:rsidRPr="006E7F76">
        <w:t>Thompson, 2002)</w:t>
      </w:r>
      <w:r>
        <w:t xml:space="preserve">. Ceux-ci </w:t>
      </w:r>
      <w:r w:rsidRPr="006E7F76">
        <w:t>considèr</w:t>
      </w:r>
      <w:r>
        <w:t>ent</w:t>
      </w:r>
      <w:r w:rsidRPr="006E7F76">
        <w:t xml:space="preserve"> que ces préjudices d</w:t>
      </w:r>
      <w:r>
        <w:t>oiv</w:t>
      </w:r>
      <w:r w:rsidRPr="006E7F76">
        <w:t>ent être évalués à l’aune des coûts de restauration compensatoire et non p</w:t>
      </w:r>
      <w:r>
        <w:t>as</w:t>
      </w:r>
      <w:r w:rsidRPr="006E7F76">
        <w:t xml:space="preserve"> au regard des valeurs économiques établies à partir des préférences des consommateurs (</w:t>
      </w:r>
      <w:proofErr w:type="spellStart"/>
      <w:r w:rsidRPr="006E7F76">
        <w:t>Levrel</w:t>
      </w:r>
      <w:proofErr w:type="spellEnd"/>
      <w:r w:rsidRPr="006E7F76">
        <w:t xml:space="preserve"> et al., 201</w:t>
      </w:r>
      <w:r>
        <w:t>2</w:t>
      </w:r>
      <w:r w:rsidRPr="006E7F76">
        <w:t>). En France, les cours de justice ont commencé à adopter le même type d’évaluation</w:t>
      </w:r>
      <w:r>
        <w:t xml:space="preserve"> très récemment</w:t>
      </w:r>
      <w:r w:rsidRPr="006E7F76">
        <w:t xml:space="preserve">, </w:t>
      </w:r>
      <w:r w:rsidR="00205CE5" w:rsidRPr="006E7F76">
        <w:t>par suite de</w:t>
      </w:r>
      <w:r w:rsidRPr="006E7F76">
        <w:t xml:space="preserve"> la reconnaissance du préjudice écologique dans la loi pour la reconquête de la biodiversité de 2016. </w:t>
      </w:r>
    </w:p>
    <w:p w14:paraId="34662133" w14:textId="41A6A068" w:rsidR="00770CEB" w:rsidRPr="006E7F76" w:rsidRDefault="00770CEB" w:rsidP="00770CEB">
      <w:pPr>
        <w:pStyle w:val="Corps"/>
      </w:pPr>
      <w:r>
        <w:t>Cette</w:t>
      </w:r>
      <w:r w:rsidRPr="006E7F76">
        <w:t xml:space="preserve"> méthode</w:t>
      </w:r>
      <w:r>
        <w:t>,</w:t>
      </w:r>
      <w:r w:rsidRPr="006E7F76">
        <w:t xml:space="preserve"> fondée sur les coûts de maintien de la biodiversité et non pas sur les valeurs fourni</w:t>
      </w:r>
      <w:r w:rsidR="00754EA9">
        <w:t>e</w:t>
      </w:r>
      <w:r w:rsidRPr="006E7F76">
        <w:t>s par les services qu’elle délivre</w:t>
      </w:r>
      <w:r>
        <w:t>,</w:t>
      </w:r>
      <w:r w:rsidRPr="006E7F76">
        <w:t xml:space="preserve"> a</w:t>
      </w:r>
      <w:r>
        <w:t xml:space="preserve"> en fait</w:t>
      </w:r>
      <w:r w:rsidRPr="006E7F76">
        <w:t xml:space="preserve"> beaucoup de sens aujourd’hui au regard des objectifs normatifs mentionné dans la Loi</w:t>
      </w:r>
      <w:r>
        <w:t xml:space="preserve"> ou dans des programmes politiques</w:t>
      </w:r>
      <w:r w:rsidRPr="006E7F76">
        <w:t>.</w:t>
      </w:r>
      <w:r>
        <w:t xml:space="preserve"> L</w:t>
      </w:r>
      <w:r w:rsidRPr="006E7F76">
        <w:t xml:space="preserve">a </w:t>
      </w:r>
      <w:r>
        <w:t>Directive cadre sur l’eau</w:t>
      </w:r>
      <w:r w:rsidRPr="006E7F76">
        <w:t xml:space="preserve"> </w:t>
      </w:r>
      <w:r>
        <w:t xml:space="preserve">de 2000 </w:t>
      </w:r>
      <w:r w:rsidRPr="006E7F76">
        <w:t xml:space="preserve">et la </w:t>
      </w:r>
      <w:r>
        <w:t>D</w:t>
      </w:r>
      <w:r w:rsidRPr="006E7F76">
        <w:t xml:space="preserve">irective cadre stratégie pour le milieu marin </w:t>
      </w:r>
      <w:r>
        <w:t xml:space="preserve">de 2008 </w:t>
      </w:r>
      <w:r w:rsidRPr="006E7F76">
        <w:t xml:space="preserve">visent à restaurer le bon état des masses d’eaux terrestres et marines, la </w:t>
      </w:r>
      <w:r>
        <w:t>L</w:t>
      </w:r>
      <w:r w:rsidRPr="006E7F76">
        <w:t xml:space="preserve">oi sur la reconquête de la biodiversité de 2016 stipule que tout projet d’aménagement doit respecter une « absence de perte nette de biodiversité », le </w:t>
      </w:r>
      <w:r>
        <w:t>P</w:t>
      </w:r>
      <w:r w:rsidRPr="006E7F76">
        <w:t xml:space="preserve">lan climat vise à une « neutralité carbone » et </w:t>
      </w:r>
      <w:r>
        <w:t>la Loi Climat-Résilience</w:t>
      </w:r>
      <w:r w:rsidRPr="006E7F76">
        <w:t xml:space="preserve"> de </w:t>
      </w:r>
      <w:r>
        <w:t xml:space="preserve">2021 </w:t>
      </w:r>
      <w:r w:rsidRPr="006E7F76">
        <w:t xml:space="preserve">souligne qu’il faut atteindre l’objectif de « zéro artificialisation </w:t>
      </w:r>
      <w:r w:rsidRPr="006E7F76">
        <w:lastRenderedPageBreak/>
        <w:t>nette »</w:t>
      </w:r>
      <w:r>
        <w:t> :</w:t>
      </w:r>
      <w:r w:rsidRPr="006E7F76">
        <w:t xml:space="preserve"> </w:t>
      </w:r>
      <w:r>
        <w:t>l</w:t>
      </w:r>
      <w:r w:rsidRPr="006E7F76">
        <w:t xml:space="preserve">a neutralité écologique est </w:t>
      </w:r>
      <w:r>
        <w:t xml:space="preserve">ainsi </w:t>
      </w:r>
      <w:r w:rsidRPr="006E7F76">
        <w:t>devenue</w:t>
      </w:r>
      <w:r>
        <w:t xml:space="preserve"> </w:t>
      </w:r>
      <w:r w:rsidRPr="006E7F76">
        <w:t>un nouvel avatar du développement durable et les méthodes économiques qui sont développées pour calculer la dette écologique sont envisagées à l’aune du coût, supporté par la collectivité dans son ensemble, de l’atteinte de ces objectifs. La valeur tutélaire de la biodiversité et la valeur tutélaire du carbone sont basé</w:t>
      </w:r>
      <w:r>
        <w:t>e</w:t>
      </w:r>
      <w:r w:rsidRPr="006E7F76">
        <w:t>s sur ces principes</w:t>
      </w:r>
      <w:r>
        <w:t xml:space="preserve"> en 2022</w:t>
      </w:r>
      <w:r w:rsidRPr="006E7F76">
        <w:t>.</w:t>
      </w:r>
    </w:p>
    <w:p w14:paraId="4D14693C" w14:textId="3B63979E" w:rsidR="00770CEB" w:rsidRPr="006E7F76" w:rsidRDefault="00770CEB" w:rsidP="00770CEB">
      <w:pPr>
        <w:pStyle w:val="Corps"/>
      </w:pPr>
      <w:r>
        <w:t>C</w:t>
      </w:r>
      <w:r w:rsidRPr="006E7F76">
        <w:t xml:space="preserve">ette approche par les coûts de maintien </w:t>
      </w:r>
      <w:r>
        <w:t>ne repose pas sur le</w:t>
      </w:r>
      <w:r w:rsidRPr="006E7F76">
        <w:t xml:space="preserve"> consentement individuel à payer des individus </w:t>
      </w:r>
      <w:r>
        <w:t>–</w:t>
      </w:r>
      <w:r w:rsidRPr="006E7F76">
        <w:t xml:space="preserve"> </w:t>
      </w:r>
      <w:r>
        <w:t>lié à</w:t>
      </w:r>
      <w:r w:rsidRPr="006E7F76">
        <w:t xml:space="preserve"> l’individualisme méthodologique </w:t>
      </w:r>
      <w:r>
        <w:t xml:space="preserve">de </w:t>
      </w:r>
      <w:r w:rsidRPr="006E7F76">
        <w:t xml:space="preserve">l’économie néo-classique </w:t>
      </w:r>
      <w:r>
        <w:t>–</w:t>
      </w:r>
      <w:r w:rsidRPr="006E7F76">
        <w:t xml:space="preserve"> </w:t>
      </w:r>
      <w:r>
        <w:t>mais</w:t>
      </w:r>
      <w:r w:rsidRPr="006E7F76">
        <w:t xml:space="preserve"> s’appu</w:t>
      </w:r>
      <w:r>
        <w:t>ie</w:t>
      </w:r>
      <w:r w:rsidRPr="006E7F76">
        <w:t xml:space="preserve"> sur </w:t>
      </w:r>
      <w:r>
        <w:t>un</w:t>
      </w:r>
      <w:r w:rsidRPr="006E7F76">
        <w:t xml:space="preserve"> consentement social (collectif) à payer pour atteindre un certain niveau de production de biens publics fournis par la biodiversité</w:t>
      </w:r>
      <w:r>
        <w:t xml:space="preserve">, </w:t>
      </w:r>
      <w:r w:rsidRPr="003D685A">
        <w:t>via le respect de lois voté par des représentants démocratiquement élus</w:t>
      </w:r>
      <w:r>
        <w:t>. Cela constitue</w:t>
      </w:r>
      <w:r w:rsidRPr="006E7F76">
        <w:t xml:space="preserve"> un changement de paradigme extrêmement important pour prendre en compte l’ensemble des valeurs de ce bien collectif qu’est la nature. </w:t>
      </w:r>
    </w:p>
    <w:p w14:paraId="2315F61F" w14:textId="35559BBB" w:rsidR="00770CEB" w:rsidRDefault="00770CEB" w:rsidP="00770CEB">
      <w:pPr>
        <w:pStyle w:val="Corps"/>
      </w:pPr>
      <w:r w:rsidRPr="006E7F76">
        <w:t>Au-delà des principes éthiques et politiques</w:t>
      </w:r>
      <w:r>
        <w:t xml:space="preserve"> qui peuvent justifier cette approche par les coûts,</w:t>
      </w:r>
      <w:r w:rsidRPr="006E7F76">
        <w:t xml:space="preserve"> </w:t>
      </w:r>
      <w:r>
        <w:t>cette méthode</w:t>
      </w:r>
      <w:r w:rsidRPr="006E7F76">
        <w:t xml:space="preserve"> </w:t>
      </w:r>
      <w:r>
        <w:t>a</w:t>
      </w:r>
      <w:r w:rsidRPr="006E7F76">
        <w:t xml:space="preserve"> trois avantages techniques par rapport à l’évaluation des bénéfices fournis par la biodiversité (</w:t>
      </w:r>
      <w:proofErr w:type="spellStart"/>
      <w:r w:rsidRPr="006E7F76">
        <w:t>Levrel</w:t>
      </w:r>
      <w:proofErr w:type="spellEnd"/>
      <w:r w:rsidRPr="006E7F76">
        <w:t xml:space="preserve"> et al., 2014) : </w:t>
      </w:r>
      <w:r>
        <w:t>elle est</w:t>
      </w:r>
      <w:r w:rsidRPr="006E7F76">
        <w:t xml:space="preserve"> peu coûteuse à mettre en œuvre</w:t>
      </w:r>
      <w:r w:rsidR="00754EA9">
        <w:t>,</w:t>
      </w:r>
      <w:r w:rsidRPr="006E7F76">
        <w:t xml:space="preserve"> car les coûts </w:t>
      </w:r>
      <w:r>
        <w:t>estimés</w:t>
      </w:r>
      <w:r w:rsidRPr="006E7F76">
        <w:t xml:space="preserve"> </w:t>
      </w:r>
      <w:r>
        <w:t xml:space="preserve">renvoient à des méthodes </w:t>
      </w:r>
      <w:r w:rsidRPr="006E7F76">
        <w:t>d’ingénierie écologique</w:t>
      </w:r>
      <w:r>
        <w:t xml:space="preserve"> bien connues </w:t>
      </w:r>
      <w:r w:rsidRPr="006E7F76">
        <w:t xml:space="preserve">; elle est relativement simple à comprendre, et les incertitudes liées à ces calculs sont assez faciles à expliquer ; </w:t>
      </w:r>
      <w:r>
        <w:t>et enfin</w:t>
      </w:r>
      <w:r w:rsidRPr="006E7F76">
        <w:t>, en</w:t>
      </w:r>
      <w:r>
        <w:t xml:space="preserve"> principe</w:t>
      </w:r>
      <w:r w:rsidRPr="006E7F76">
        <w:t xml:space="preserve">, </w:t>
      </w:r>
      <w:r>
        <w:t>elle prend</w:t>
      </w:r>
      <w:r w:rsidRPr="006E7F76">
        <w:t xml:space="preserve"> en </w:t>
      </w:r>
      <w:r>
        <w:t xml:space="preserve">compte </w:t>
      </w:r>
      <w:r w:rsidRPr="006E7F76">
        <w:t>l’ensemble des bénéficiaires des services</w:t>
      </w:r>
      <w:r>
        <w:t xml:space="preserve"> fournis par la biodiversité</w:t>
      </w:r>
      <w:r w:rsidR="00754EA9">
        <w:t>,</w:t>
      </w:r>
      <w:r w:rsidRPr="006E7F76">
        <w:rPr>
          <w:rStyle w:val="Appelnotedebasdep"/>
          <w:rFonts w:ascii="Times New Roman" w:hAnsi="Times New Roman" w:cs="Times New Roman"/>
        </w:rPr>
        <w:footnoteReference w:id="9"/>
      </w:r>
      <w:r w:rsidRPr="006E7F76">
        <w:t xml:space="preserve"> car </w:t>
      </w:r>
      <w:r>
        <w:t>elle</w:t>
      </w:r>
      <w:r w:rsidRPr="006E7F76">
        <w:t xml:space="preserve"> vise à maintenir </w:t>
      </w:r>
      <w:r>
        <w:t>l’écosystème dans toutes ses composantes</w:t>
      </w:r>
      <w:r w:rsidRPr="006E7F76">
        <w:t xml:space="preserve">. </w:t>
      </w:r>
    </w:p>
    <w:p w14:paraId="504B435E" w14:textId="0A6A9D3E" w:rsidR="00770CEB" w:rsidRPr="00205CE5" w:rsidRDefault="00770CEB" w:rsidP="00205CE5">
      <w:pPr>
        <w:pStyle w:val="Corps"/>
      </w:pPr>
      <w:r w:rsidRPr="006E7F76">
        <w:t>Une question essentielle aujourd’hui est de savoir comment ces estimations peuvent être reprises et capitalisées dans un exercice standardisé, notamment comptabl</w:t>
      </w:r>
      <w:r>
        <w:t xml:space="preserve">e. En effet, </w:t>
      </w:r>
      <w:r w:rsidRPr="006E7F76">
        <w:t>la richesse d’un pays est</w:t>
      </w:r>
      <w:r>
        <w:t xml:space="preserve"> encore principalement mesurée</w:t>
      </w:r>
      <w:r w:rsidRPr="006E7F76">
        <w:t xml:space="preserve"> à partir d</w:t>
      </w:r>
      <w:r>
        <w:t xml:space="preserve">es </w:t>
      </w:r>
      <w:r w:rsidRPr="006E7F76">
        <w:t>agrégats de la comptabilité nationale.</w:t>
      </w:r>
    </w:p>
    <w:p w14:paraId="72644124" w14:textId="43CC29C1" w:rsidR="00770CEB" w:rsidRPr="00205CE5" w:rsidRDefault="00770CEB" w:rsidP="00770CEB">
      <w:pPr>
        <w:pStyle w:val="VDIEncadr"/>
        <w:rPr>
          <w:b/>
          <w:bCs/>
        </w:rPr>
      </w:pPr>
      <w:r w:rsidRPr="00205CE5">
        <w:rPr>
          <w:b/>
          <w:bCs/>
        </w:rPr>
        <w:t xml:space="preserve">Vers une comptabilité des coûts écologiques non payés </w:t>
      </w:r>
    </w:p>
    <w:p w14:paraId="0B23F3AC" w14:textId="7D2C8BEF" w:rsidR="00770CEB" w:rsidRPr="00A53137" w:rsidRDefault="00770CEB" w:rsidP="00770CEB">
      <w:pPr>
        <w:pStyle w:val="VDIEncadr"/>
        <w:rPr>
          <w:rFonts w:eastAsia="Times New Roman"/>
        </w:rPr>
      </w:pPr>
      <w:r w:rsidRPr="006E7F76">
        <w:t xml:space="preserve">À l’échelle de la </w:t>
      </w:r>
      <w:r>
        <w:t>France et de l’Europe</w:t>
      </w:r>
      <w:r w:rsidRPr="006E7F76">
        <w:t xml:space="preserve">, </w:t>
      </w:r>
      <w:r>
        <w:t>la Chaire comptabilité écologique propose d’utiliser</w:t>
      </w:r>
      <w:r w:rsidRPr="006E7F76">
        <w:t xml:space="preserve"> la notion de coûts écologiques non payés (CENP) </w:t>
      </w:r>
      <w:r>
        <w:t xml:space="preserve">pour renseigner ces coûts de maintien de la biodiversité </w:t>
      </w:r>
      <w:hyperlink r:id="rId10" w:history="1">
        <w:r w:rsidRPr="00205CE5">
          <w:rPr>
            <w:rStyle w:val="Lienhypertexte"/>
          </w:rPr>
          <w:t>dans un cadre comptable</w:t>
        </w:r>
      </w:hyperlink>
      <w:r w:rsidRPr="006E7F76">
        <w:t xml:space="preserve">. Les CENP correspondent à la différence entre les coûts que la société (ménages, administrations </w:t>
      </w:r>
      <w:r w:rsidRPr="006E7F76">
        <w:lastRenderedPageBreak/>
        <w:t>et entreprises) consent à payer aujourd’hui pour respecter les standards en matière d’objectifs de conservation de la biodiversité et les coûts que la société devrait consentir pour réellement respecter ces standards de conservation</w:t>
      </w:r>
      <w:r>
        <w:t xml:space="preserve"> (</w:t>
      </w:r>
      <w:proofErr w:type="spellStart"/>
      <w:r>
        <w:t>Vanoli</w:t>
      </w:r>
      <w:proofErr w:type="spellEnd"/>
      <w:r>
        <w:t>, 2015)</w:t>
      </w:r>
      <w:r w:rsidRPr="006E7F76">
        <w:t xml:space="preserve">. Les comptes satellites de l’environnement </w:t>
      </w:r>
      <w:r>
        <w:t>nous permettent</w:t>
      </w:r>
      <w:r w:rsidRPr="006E7F76">
        <w:t xml:space="preserve"> ainsi </w:t>
      </w:r>
      <w:r>
        <w:t xml:space="preserve">de savoir </w:t>
      </w:r>
      <w:r w:rsidRPr="006E7F76">
        <w:t>que les administrations, les ménages et les entreprises dépensent aujourd’hui 2,2 milliards d’Euros par an en matière d’actions en faveur de la conservation de la biodiversité</w:t>
      </w:r>
      <w:r>
        <w:t>,</w:t>
      </w:r>
      <w:r w:rsidRPr="006E7F76">
        <w:t xml:space="preserve"> </w:t>
      </w:r>
      <w:r>
        <w:t>m</w:t>
      </w:r>
      <w:r w:rsidRPr="006E7F76">
        <w:t xml:space="preserve">ais on sait que ces </w:t>
      </w:r>
      <w:r w:rsidRPr="00A53137">
        <w:t>dépenses sont totalement insuffisantes pour atteindre les objectifs d’absence de perte nette de biodiversité, de bon état des masses d’eaux terrestres et marines, de zéro artificialisation nette des sols. Des études récentes tentent d’évaluer les coûts nécessaires à l’atteinte de ces objectifs</w:t>
      </w:r>
      <w:r>
        <w:t xml:space="preserve"> politiques pour évaluer les CENP</w:t>
      </w:r>
      <w:r w:rsidRPr="00A53137">
        <w:t xml:space="preserve">. </w:t>
      </w:r>
      <w:r w:rsidR="00AA5B6C">
        <w:t>À</w:t>
      </w:r>
      <w:r w:rsidRPr="00A53137">
        <w:t xml:space="preserve"> titre d’exemple, il a été </w:t>
      </w:r>
      <w:r>
        <w:t>montré</w:t>
      </w:r>
      <w:r w:rsidRPr="00A53137">
        <w:t xml:space="preserve"> que l’atteinte de la réduction de moitié du rythme de l’artificialisation nette des sols </w:t>
      </w:r>
      <w:r>
        <w:t>à l’horizon 2030 pourrait générer un CENP</w:t>
      </w:r>
      <w:r w:rsidRPr="00A53137">
        <w:t xml:space="preserve"> situé entre </w:t>
      </w:r>
      <w:r w:rsidRPr="00AA5B6C">
        <w:t>154 milliards et 632 milliards d’euros pour les 10 ans à venir (</w:t>
      </w:r>
      <w:proofErr w:type="spellStart"/>
      <w:r w:rsidRPr="00AA5B6C">
        <w:t>Gonon</w:t>
      </w:r>
      <w:proofErr w:type="spellEnd"/>
      <w:r w:rsidRPr="00AA5B6C">
        <w:t xml:space="preserve"> et al., 2021).</w:t>
      </w:r>
    </w:p>
    <w:p w14:paraId="46DED6BA" w14:textId="29F64E38" w:rsidR="00770CEB" w:rsidRPr="00205CE5" w:rsidRDefault="00770CEB" w:rsidP="00205CE5">
      <w:pPr>
        <w:pStyle w:val="VDIEncadr"/>
      </w:pPr>
      <w:r w:rsidRPr="006E7F76">
        <w:t>Les CENP nous indiquent ainsi combien la société devrait payer, en plus de ce qu’elle paie aujourd’hui, pour respecter ses engagements légaux et politiques en matière de conservation de la biodiversité. Mais comme il s’agit bien de coûts non payés en faveur de la biodiversité, le montant de ce coût peu</w:t>
      </w:r>
      <w:r>
        <w:t xml:space="preserve">t </w:t>
      </w:r>
      <w:r w:rsidRPr="006E7F76">
        <w:t>être assimilé à une dette que nos sociétés accumulent vis-à-vis de la nature</w:t>
      </w:r>
      <w:r>
        <w:t xml:space="preserve"> chaque année</w:t>
      </w:r>
      <w:r w:rsidRPr="006E7F76">
        <w:t xml:space="preserve">. </w:t>
      </w:r>
    </w:p>
    <w:p w14:paraId="5626D644" w14:textId="69238844" w:rsidR="00770CEB" w:rsidRPr="006E7F76" w:rsidRDefault="00770CEB" w:rsidP="00205CE5">
      <w:pPr>
        <w:pStyle w:val="VDIIntertitre"/>
      </w:pPr>
      <w:r w:rsidRPr="006E7F76">
        <w:t>Conclusion</w:t>
      </w:r>
      <w:r>
        <w:t> </w:t>
      </w:r>
    </w:p>
    <w:p w14:paraId="2AF6CED6" w14:textId="77777777" w:rsidR="00770CEB" w:rsidRPr="006E7F76" w:rsidRDefault="00770CEB" w:rsidP="00770CEB">
      <w:pPr>
        <w:pStyle w:val="Corps"/>
      </w:pPr>
      <w:r>
        <w:t>I</w:t>
      </w:r>
      <w:r w:rsidRPr="006E7F76">
        <w:rPr>
          <w:rFonts w:eastAsia="Times New Roman"/>
        </w:rPr>
        <w:t xml:space="preserve">l </w:t>
      </w:r>
      <w:r w:rsidRPr="006E7F76">
        <w:t xml:space="preserve">existe un enjeu clé à articuler les principes qui guident la mesure de la richesse d’un pays et ceux qui guident la mise en œuvre d’investissements au niveau des entités micro-économiques. Les coûts de maintien peuvent à cet égard offrir une piste concrète pour proposer un système comptable harmonisé allant des organisations privées jusqu’à la comptabilité nationale. </w:t>
      </w:r>
    </w:p>
    <w:p w14:paraId="5D470F59" w14:textId="237FD42A" w:rsidR="00770CEB" w:rsidRPr="00205CE5" w:rsidRDefault="00770CEB" w:rsidP="00205CE5">
      <w:pPr>
        <w:pStyle w:val="Corps"/>
      </w:pPr>
      <w:r w:rsidRPr="006E7F76">
        <w:t xml:space="preserve">Cela permettrait de faire apparaître la dette écologique contractée par toutes les formes d’organisations dans leurs activités quotidiennes, mais aussi la dette </w:t>
      </w:r>
      <w:r>
        <w:t xml:space="preserve">écologique </w:t>
      </w:r>
      <w:r w:rsidRPr="006E7F76">
        <w:t xml:space="preserve">qui s’accumule à l’échelle d’un pays, à mesure que la richesse financière de ce dernier augmente. Cette comptabilité écologique doit pouvoir offrir une nouvelle assiette fiscale pour les politiques incitatives de l’État, faire prendre conscience du « poids de la dette » écologique nationale et offrir un outil de médiation pour faciliter </w:t>
      </w:r>
      <w:r w:rsidRPr="006E7F76">
        <w:lastRenderedPageBreak/>
        <w:t xml:space="preserve">les débats sur </w:t>
      </w:r>
      <w:r>
        <w:t xml:space="preserve">ce que signifie la notion de richesse dans un contexte </w:t>
      </w:r>
      <w:r w:rsidRPr="006E7F76">
        <w:t>de</w:t>
      </w:r>
      <w:r>
        <w:t xml:space="preserve"> nécessité d’une</w:t>
      </w:r>
      <w:r w:rsidRPr="006E7F76">
        <w:t xml:space="preserve"> transition écologique de notre système économique. </w:t>
      </w:r>
    </w:p>
    <w:p w14:paraId="3A21A5D4" w14:textId="6FAA0EC5" w:rsidR="00770CEB" w:rsidRPr="00770CEB" w:rsidRDefault="00770CEB" w:rsidP="00770CEB">
      <w:pPr>
        <w:pStyle w:val="VDIBibliographietitre"/>
      </w:pPr>
      <w:r w:rsidRPr="002574CE">
        <w:t>Bibliographie</w:t>
      </w:r>
    </w:p>
    <w:p w14:paraId="37E39ACC" w14:textId="30648129" w:rsidR="00770CEB" w:rsidRPr="002117D6" w:rsidRDefault="00770CEB" w:rsidP="00770CEB">
      <w:pPr>
        <w:pStyle w:val="VDIBibliographie"/>
      </w:pPr>
      <w:proofErr w:type="spellStart"/>
      <w:r w:rsidRPr="002117D6">
        <w:t>Chevassus</w:t>
      </w:r>
      <w:proofErr w:type="spellEnd"/>
      <w:r w:rsidRPr="002117D6">
        <w:t>-au-Louis, B., Salles, J.-M., Pujol, J.-L. (</w:t>
      </w:r>
      <w:proofErr w:type="spellStart"/>
      <w:r w:rsidRPr="002117D6">
        <w:t>Eds</w:t>
      </w:r>
      <w:proofErr w:type="spellEnd"/>
      <w:r w:rsidRPr="002117D6">
        <w:t xml:space="preserve">), Conseil d’analyse stratégique (2009), </w:t>
      </w:r>
      <w:r w:rsidRPr="002117D6">
        <w:rPr>
          <w:i/>
        </w:rPr>
        <w:t>Approche économique de la biodiversité et des services liés aux écosystèmes</w:t>
      </w:r>
      <w:r w:rsidRPr="002117D6">
        <w:t>, Paris, La Documentation française.</w:t>
      </w:r>
    </w:p>
    <w:p w14:paraId="384292DC" w14:textId="77777777" w:rsidR="00770CEB" w:rsidRPr="00E46886" w:rsidRDefault="00770CEB" w:rsidP="00770CEB">
      <w:pPr>
        <w:pStyle w:val="VDIBibliographie"/>
        <w:rPr>
          <w:lang w:val="en-US"/>
        </w:rPr>
      </w:pPr>
      <w:r w:rsidRPr="00E46886">
        <w:rPr>
          <w:lang w:val="en-US"/>
        </w:rPr>
        <w:t xml:space="preserve">Costanza R., </w:t>
      </w:r>
      <w:proofErr w:type="spellStart"/>
      <w:r w:rsidRPr="00E46886">
        <w:rPr>
          <w:lang w:val="en-US"/>
        </w:rPr>
        <w:t>d'Arge</w:t>
      </w:r>
      <w:proofErr w:type="spellEnd"/>
      <w:r w:rsidRPr="00E46886">
        <w:rPr>
          <w:lang w:val="en-US"/>
        </w:rPr>
        <w:t xml:space="preserve"> R., de Groot R., Farber S., Grasso M., Hannon B., Limburg K., Naeem S., O'Neill R.V., </w:t>
      </w:r>
      <w:proofErr w:type="spellStart"/>
      <w:r w:rsidRPr="00E46886">
        <w:rPr>
          <w:lang w:val="en-US"/>
        </w:rPr>
        <w:t>Paruelo</w:t>
      </w:r>
      <w:proofErr w:type="spellEnd"/>
      <w:r w:rsidRPr="00E46886">
        <w:rPr>
          <w:lang w:val="en-US"/>
        </w:rPr>
        <w:t xml:space="preserve"> J., </w:t>
      </w:r>
      <w:proofErr w:type="spellStart"/>
      <w:r w:rsidRPr="00E46886">
        <w:rPr>
          <w:lang w:val="en-US"/>
        </w:rPr>
        <w:t>Raskin</w:t>
      </w:r>
      <w:proofErr w:type="spellEnd"/>
      <w:r w:rsidRPr="00E46886">
        <w:rPr>
          <w:lang w:val="en-US"/>
        </w:rPr>
        <w:t xml:space="preserve"> R.G., Sutton P., van den Belt M., (1997), “The value of the world’s ecosystem services and natural capital”, </w:t>
      </w:r>
      <w:r w:rsidRPr="00E46886">
        <w:rPr>
          <w:i/>
          <w:lang w:val="en-US"/>
        </w:rPr>
        <w:t>Nature</w:t>
      </w:r>
      <w:r w:rsidRPr="00E46886">
        <w:rPr>
          <w:lang w:val="en-US"/>
        </w:rPr>
        <w:t xml:space="preserve">, </w:t>
      </w:r>
      <w:proofErr w:type="gramStart"/>
      <w:r w:rsidRPr="00E46886">
        <w:rPr>
          <w:lang w:val="en-US"/>
        </w:rPr>
        <w:t>387 :</w:t>
      </w:r>
      <w:proofErr w:type="gramEnd"/>
      <w:r w:rsidRPr="00E46886">
        <w:rPr>
          <w:lang w:val="en-US"/>
        </w:rPr>
        <w:t xml:space="preserve"> 253-260.</w:t>
      </w:r>
    </w:p>
    <w:p w14:paraId="0898B15E" w14:textId="0A30A84B" w:rsidR="00770CEB" w:rsidRPr="002117D6" w:rsidRDefault="00770CEB" w:rsidP="00770CEB">
      <w:pPr>
        <w:pStyle w:val="VDIBibliographie"/>
      </w:pPr>
      <w:proofErr w:type="spellStart"/>
      <w:r w:rsidRPr="002117D6">
        <w:t>Gonon</w:t>
      </w:r>
      <w:proofErr w:type="spellEnd"/>
      <w:r w:rsidRPr="002117D6">
        <w:t xml:space="preserve"> M., </w:t>
      </w:r>
      <w:proofErr w:type="spellStart"/>
      <w:r w:rsidRPr="002117D6">
        <w:t>Levrel</w:t>
      </w:r>
      <w:proofErr w:type="spellEnd"/>
      <w:r w:rsidRPr="002117D6">
        <w:t xml:space="preserve"> H., </w:t>
      </w:r>
      <w:proofErr w:type="spellStart"/>
      <w:r w:rsidRPr="002117D6">
        <w:t>Surun</w:t>
      </w:r>
      <w:proofErr w:type="spellEnd"/>
      <w:r w:rsidRPr="002117D6">
        <w:t xml:space="preserve"> C. (2021), « Limiter l’artificialisation des sols pour éviter une dette écologique se chiffrant en dizaines de milliards d’Euros », </w:t>
      </w:r>
      <w:r w:rsidRPr="002117D6">
        <w:rPr>
          <w:i/>
        </w:rPr>
        <w:t>The Conversation</w:t>
      </w:r>
      <w:r w:rsidRPr="002117D6">
        <w:t>, 19 octobre 2021</w:t>
      </w:r>
      <w:r>
        <w:t>.</w:t>
      </w:r>
    </w:p>
    <w:p w14:paraId="788D7B0D" w14:textId="214C60F7" w:rsidR="00770CEB" w:rsidRPr="00E46886" w:rsidRDefault="00770CEB" w:rsidP="00770CEB">
      <w:pPr>
        <w:pStyle w:val="VDIBibliographie"/>
      </w:pPr>
      <w:bookmarkStart w:id="1" w:name="_Toc170030458"/>
      <w:bookmarkStart w:id="2" w:name="_Toc170537215"/>
      <w:proofErr w:type="spellStart"/>
      <w:r w:rsidRPr="00E46886">
        <w:rPr>
          <w:bCs/>
        </w:rPr>
        <w:t>Levrel</w:t>
      </w:r>
      <w:proofErr w:type="spellEnd"/>
      <w:r w:rsidRPr="00E46886">
        <w:rPr>
          <w:bCs/>
        </w:rPr>
        <w:t xml:space="preserve"> H.</w:t>
      </w:r>
      <w:r w:rsidRPr="00E46886">
        <w:t xml:space="preserve"> (2008), </w:t>
      </w:r>
      <w:bookmarkEnd w:id="1"/>
      <w:bookmarkEnd w:id="2"/>
      <w:r w:rsidRPr="00E46886">
        <w:rPr>
          <w:i/>
          <w:iCs/>
        </w:rPr>
        <w:t xml:space="preserve">Quels indicateurs pour la gestion de la </w:t>
      </w:r>
      <w:proofErr w:type="gramStart"/>
      <w:r w:rsidRPr="00E46886">
        <w:rPr>
          <w:i/>
          <w:iCs/>
        </w:rPr>
        <w:t>biodiversité ?</w:t>
      </w:r>
      <w:r w:rsidRPr="00E46886">
        <w:t>,</w:t>
      </w:r>
      <w:proofErr w:type="gramEnd"/>
      <w:r w:rsidRPr="00E46886">
        <w:t xml:space="preserve"> Les Cahiers de l’IFB, Paris, 94</w:t>
      </w:r>
      <w:r>
        <w:t xml:space="preserve"> </w:t>
      </w:r>
      <w:r w:rsidRPr="00E46886">
        <w:t>p.</w:t>
      </w:r>
    </w:p>
    <w:p w14:paraId="05F363EB" w14:textId="1ABBD165" w:rsidR="00770CEB" w:rsidRPr="00E46886" w:rsidRDefault="00770CEB" w:rsidP="00770CEB">
      <w:pPr>
        <w:pStyle w:val="VDIBibliographie"/>
      </w:pPr>
      <w:proofErr w:type="spellStart"/>
      <w:r w:rsidRPr="00E46886">
        <w:rPr>
          <w:bCs/>
        </w:rPr>
        <w:t>Levrel</w:t>
      </w:r>
      <w:proofErr w:type="spellEnd"/>
      <w:r w:rsidRPr="00E46886">
        <w:rPr>
          <w:bCs/>
        </w:rPr>
        <w:t xml:space="preserve"> H.</w:t>
      </w:r>
      <w:r w:rsidRPr="00E46886">
        <w:t xml:space="preserve">, Hay J., Bas A., </w:t>
      </w:r>
      <w:proofErr w:type="spellStart"/>
      <w:r w:rsidRPr="00E46886">
        <w:t>Gastineau</w:t>
      </w:r>
      <w:proofErr w:type="spellEnd"/>
      <w:r w:rsidRPr="00E46886">
        <w:t xml:space="preserve"> P., </w:t>
      </w:r>
      <w:proofErr w:type="spellStart"/>
      <w:r w:rsidRPr="00E46886">
        <w:t>Pioch</w:t>
      </w:r>
      <w:proofErr w:type="spellEnd"/>
      <w:r w:rsidRPr="00E46886">
        <w:t xml:space="preserve"> S., (2012), « Coût d’opportunité </w:t>
      </w:r>
      <w:r w:rsidRPr="00E46886">
        <w:rPr>
          <w:i/>
          <w:iCs/>
        </w:rPr>
        <w:t>VS</w:t>
      </w:r>
      <w:r w:rsidRPr="00E46886">
        <w:t xml:space="preserve"> coût du maintien des potentialités écologiques : deux indicateurs économiques pour mesurer le coût de l’érosion de la biodiversité. », </w:t>
      </w:r>
      <w:r w:rsidRPr="00E46886">
        <w:rPr>
          <w:i/>
          <w:iCs/>
        </w:rPr>
        <w:t>Natures, Sciences, Sociétés</w:t>
      </w:r>
      <w:r w:rsidRPr="00E46886">
        <w:t>, 20, 16-29.</w:t>
      </w:r>
    </w:p>
    <w:p w14:paraId="53839C5B" w14:textId="77777777" w:rsidR="00770CEB" w:rsidRPr="00E46886" w:rsidRDefault="00770CEB" w:rsidP="00770CEB">
      <w:pPr>
        <w:pStyle w:val="VDIBibliographie"/>
        <w:rPr>
          <w:color w:val="231F20"/>
          <w:lang w:val="en-US"/>
        </w:rPr>
      </w:pPr>
      <w:proofErr w:type="spellStart"/>
      <w:r w:rsidRPr="00E46886">
        <w:rPr>
          <w:rFonts w:eastAsia="SimSun"/>
          <w:lang w:val="en-US"/>
        </w:rPr>
        <w:t>Levrel</w:t>
      </w:r>
      <w:proofErr w:type="spellEnd"/>
      <w:r w:rsidRPr="00E46886">
        <w:rPr>
          <w:rFonts w:eastAsia="SimSun"/>
          <w:lang w:val="en-US"/>
        </w:rPr>
        <w:t xml:space="preserve"> H., Jacob C. Bailly D., Charles M., </w:t>
      </w:r>
      <w:proofErr w:type="spellStart"/>
      <w:r w:rsidRPr="00E46886">
        <w:rPr>
          <w:rFonts w:eastAsia="SimSun"/>
          <w:lang w:val="en-US"/>
        </w:rPr>
        <w:t>Guyader</w:t>
      </w:r>
      <w:proofErr w:type="spellEnd"/>
      <w:r w:rsidRPr="00E46886">
        <w:rPr>
          <w:rFonts w:eastAsia="SimSun"/>
          <w:lang w:val="en-US"/>
        </w:rPr>
        <w:t xml:space="preserve"> O., </w:t>
      </w:r>
      <w:proofErr w:type="spellStart"/>
      <w:r w:rsidRPr="00E46886">
        <w:rPr>
          <w:rFonts w:eastAsia="SimSun"/>
          <w:lang w:val="en-US"/>
        </w:rPr>
        <w:t>Aoubid</w:t>
      </w:r>
      <w:proofErr w:type="spellEnd"/>
      <w:r w:rsidRPr="00E46886">
        <w:rPr>
          <w:rFonts w:eastAsia="SimSun"/>
          <w:lang w:val="en-US"/>
        </w:rPr>
        <w:t xml:space="preserve"> S., Bas A., </w:t>
      </w:r>
      <w:proofErr w:type="spellStart"/>
      <w:r w:rsidRPr="00E46886">
        <w:rPr>
          <w:rFonts w:eastAsia="SimSun"/>
          <w:lang w:val="en-US"/>
        </w:rPr>
        <w:t>Cujus</w:t>
      </w:r>
      <w:proofErr w:type="spellEnd"/>
      <w:r w:rsidRPr="00E46886">
        <w:rPr>
          <w:rFonts w:eastAsia="SimSun"/>
          <w:lang w:val="en-US"/>
        </w:rPr>
        <w:t xml:space="preserve"> A., </w:t>
      </w:r>
      <w:proofErr w:type="spellStart"/>
      <w:r w:rsidRPr="00E46886">
        <w:rPr>
          <w:rFonts w:eastAsia="SimSun"/>
          <w:lang w:val="en-US"/>
        </w:rPr>
        <w:t>Frésard</w:t>
      </w:r>
      <w:proofErr w:type="spellEnd"/>
      <w:r w:rsidRPr="00E46886">
        <w:rPr>
          <w:rFonts w:eastAsia="SimSun"/>
          <w:lang w:val="en-US"/>
        </w:rPr>
        <w:t xml:space="preserve"> M., Girard S., Hay J., </w:t>
      </w:r>
      <w:proofErr w:type="spellStart"/>
      <w:r w:rsidRPr="00E46886">
        <w:rPr>
          <w:rFonts w:eastAsia="SimSun"/>
          <w:lang w:val="en-US"/>
        </w:rPr>
        <w:t>Laurans</w:t>
      </w:r>
      <w:proofErr w:type="spellEnd"/>
      <w:r w:rsidRPr="00E46886">
        <w:rPr>
          <w:rFonts w:eastAsia="SimSun"/>
          <w:lang w:val="en-US"/>
        </w:rPr>
        <w:t xml:space="preserve"> Y., </w:t>
      </w:r>
      <w:proofErr w:type="spellStart"/>
      <w:r w:rsidRPr="00E46886">
        <w:rPr>
          <w:rFonts w:eastAsia="SimSun"/>
          <w:lang w:val="en-US"/>
        </w:rPr>
        <w:t>Paillet</w:t>
      </w:r>
      <w:proofErr w:type="spellEnd"/>
      <w:r w:rsidRPr="00E46886">
        <w:rPr>
          <w:rFonts w:eastAsia="SimSun"/>
          <w:lang w:val="en-US"/>
        </w:rPr>
        <w:t xml:space="preserve"> J., Perez J. and </w:t>
      </w:r>
      <w:proofErr w:type="spellStart"/>
      <w:r w:rsidRPr="00E46886">
        <w:rPr>
          <w:rFonts w:eastAsia="SimSun"/>
          <w:lang w:val="en-US"/>
        </w:rPr>
        <w:t>Mongruel</w:t>
      </w:r>
      <w:proofErr w:type="spellEnd"/>
      <w:r w:rsidRPr="00E46886">
        <w:rPr>
          <w:rFonts w:eastAsia="SimSun"/>
          <w:lang w:val="en-US"/>
        </w:rPr>
        <w:t xml:space="preserve"> R., (2014), “</w:t>
      </w:r>
      <w:r w:rsidRPr="00E46886">
        <w:rPr>
          <w:lang w:val="en-GB"/>
        </w:rPr>
        <w:t xml:space="preserve">The maintenance costs of marine natural capital: A case study from the initial assessment of the Marine Strategy Framework Directive in France”, </w:t>
      </w:r>
      <w:r w:rsidRPr="00E46886">
        <w:rPr>
          <w:i/>
          <w:lang w:val="en-GB"/>
        </w:rPr>
        <w:t>Marine Policy</w:t>
      </w:r>
      <w:r w:rsidRPr="00E46886">
        <w:rPr>
          <w:lang w:val="en-US"/>
        </w:rPr>
        <w:t xml:space="preserve"> 49: 37-47.</w:t>
      </w:r>
    </w:p>
    <w:p w14:paraId="01564123" w14:textId="07B50071" w:rsidR="00770CEB" w:rsidRPr="002574CE" w:rsidRDefault="00770CEB" w:rsidP="00770CEB">
      <w:pPr>
        <w:pStyle w:val="VDIBibliographie"/>
      </w:pPr>
      <w:r w:rsidRPr="00E46886">
        <w:t xml:space="preserve">Quinet, E. (2013), </w:t>
      </w:r>
      <w:r w:rsidRPr="002117D6">
        <w:rPr>
          <w:i/>
        </w:rPr>
        <w:t>L’évaluation socioéconomique des investissements publics</w:t>
      </w:r>
      <w:r w:rsidRPr="00E46886">
        <w:t xml:space="preserve">. </w:t>
      </w:r>
      <w:r w:rsidRPr="002574CE">
        <w:t>Commissariat général à la stratégie et à la prospective.</w:t>
      </w:r>
    </w:p>
    <w:p w14:paraId="475B3770" w14:textId="45DEB58F" w:rsidR="00770CEB" w:rsidRPr="00770CEB" w:rsidRDefault="00770CEB" w:rsidP="00770CEB">
      <w:pPr>
        <w:pStyle w:val="VDIBibliographie"/>
        <w:rPr>
          <w:lang w:val="en-US"/>
        </w:rPr>
      </w:pPr>
      <w:r w:rsidRPr="00791725">
        <w:t xml:space="preserve">Stiglitz J.E., Sen A., Fitoussi J-P. </w:t>
      </w:r>
      <w:r w:rsidRPr="00770CEB">
        <w:rPr>
          <w:lang w:val="en-US"/>
        </w:rPr>
        <w:t xml:space="preserve">(2008), </w:t>
      </w:r>
      <w:r w:rsidRPr="00770CEB">
        <w:rPr>
          <w:i/>
          <w:lang w:val="en-US"/>
        </w:rPr>
        <w:t>Report by the Commission on the Measurement of Economic Performance and Social Progress</w:t>
      </w:r>
      <w:r w:rsidRPr="00770CEB">
        <w:rPr>
          <w:lang w:val="en-US"/>
        </w:rPr>
        <w:t>, Paris, 291</w:t>
      </w:r>
      <w:r>
        <w:rPr>
          <w:lang w:val="en-US"/>
        </w:rPr>
        <w:t xml:space="preserve"> </w:t>
      </w:r>
      <w:r w:rsidRPr="00770CEB">
        <w:rPr>
          <w:lang w:val="en-US"/>
        </w:rPr>
        <w:t xml:space="preserve">p. </w:t>
      </w:r>
    </w:p>
    <w:p w14:paraId="116AB0DC" w14:textId="77777777" w:rsidR="00770CEB" w:rsidRPr="00E46886" w:rsidRDefault="00770CEB" w:rsidP="00770CEB">
      <w:pPr>
        <w:pStyle w:val="VDIBibliographie"/>
        <w:rPr>
          <w:bCs/>
          <w:lang w:val="en-GB"/>
        </w:rPr>
      </w:pPr>
      <w:r w:rsidRPr="00E46886">
        <w:rPr>
          <w:bCs/>
          <w:lang w:val="en-GB"/>
        </w:rPr>
        <w:t xml:space="preserve">TEEB (The Economics of Ecosystems and Biodiversity), (2010), </w:t>
      </w:r>
      <w:r w:rsidRPr="002117D6">
        <w:rPr>
          <w:bCs/>
          <w:i/>
          <w:lang w:val="en-GB"/>
        </w:rPr>
        <w:t>Mainstreaming the economics of nature: A synthesis of the approach, conclusions and recommendations of TEEB</w:t>
      </w:r>
      <w:r w:rsidRPr="00E46886">
        <w:rPr>
          <w:bCs/>
          <w:lang w:val="en-GB"/>
        </w:rPr>
        <w:t>.</w:t>
      </w:r>
    </w:p>
    <w:p w14:paraId="06869EAA" w14:textId="6BE73E42" w:rsidR="00770CEB" w:rsidRPr="00770CEB" w:rsidRDefault="00770CEB" w:rsidP="00770CEB">
      <w:pPr>
        <w:pStyle w:val="VDIBibliographie"/>
      </w:pPr>
      <w:proofErr w:type="spellStart"/>
      <w:r w:rsidRPr="00770CEB">
        <w:t>Vanoli</w:t>
      </w:r>
      <w:proofErr w:type="spellEnd"/>
      <w:r w:rsidRPr="00770CEB">
        <w:t xml:space="preserve"> A. (2015), Comptabilité nationale et prise en compte du patrimoine naturel, in Commissariat Général au Développement Durable, Nature et </w:t>
      </w:r>
      <w:r w:rsidRPr="00770CEB">
        <w:lastRenderedPageBreak/>
        <w:t>Richesse des Nations, Ministère de l’</w:t>
      </w:r>
      <w:r w:rsidR="00754EA9">
        <w:t>É</w:t>
      </w:r>
      <w:r w:rsidRPr="00770CEB">
        <w:t>cologie, du Développement Durable et de l’énergie, p.</w:t>
      </w:r>
      <w:r w:rsidR="00205CE5">
        <w:t xml:space="preserve"> </w:t>
      </w:r>
      <w:r w:rsidRPr="00770CEB">
        <w:t>79-89.</w:t>
      </w:r>
    </w:p>
    <w:p w14:paraId="0839481E" w14:textId="44542A4A" w:rsidR="00770CEB" w:rsidRPr="00E46886" w:rsidRDefault="00770CEB" w:rsidP="00770CEB">
      <w:pPr>
        <w:pStyle w:val="VDIBibliographie"/>
      </w:pPr>
      <w:proofErr w:type="spellStart"/>
      <w:r w:rsidRPr="00E46886">
        <w:t>Vanoli</w:t>
      </w:r>
      <w:proofErr w:type="spellEnd"/>
      <w:r w:rsidRPr="00E46886">
        <w:t xml:space="preserve"> A. (2002), </w:t>
      </w:r>
      <w:r w:rsidRPr="00E46886">
        <w:rPr>
          <w:i/>
        </w:rPr>
        <w:t>Une h</w:t>
      </w:r>
      <w:r w:rsidRPr="002574CE">
        <w:rPr>
          <w:i/>
        </w:rPr>
        <w:t>istoire de la comptabilité nationale</w:t>
      </w:r>
      <w:r w:rsidRPr="00E46886">
        <w:t>, collection Repères, éditions La découverte, 655</w:t>
      </w:r>
      <w:r>
        <w:t xml:space="preserve"> </w:t>
      </w:r>
      <w:r w:rsidRPr="00E46886">
        <w:t>p.</w:t>
      </w:r>
    </w:p>
    <w:p w14:paraId="4FDF0512" w14:textId="179ED7DE" w:rsidR="0063372A" w:rsidRDefault="0063372A" w:rsidP="0063372A">
      <w:pPr>
        <w:pStyle w:val="VDIdate"/>
      </w:pPr>
      <w:r>
        <w:t>Publié dans lavi</w:t>
      </w:r>
      <w:r w:rsidR="006E7A74">
        <w:t>e</w:t>
      </w:r>
      <w:r>
        <w:t>desidees.fr, le</w:t>
      </w:r>
      <w:r w:rsidR="008F3232">
        <w:t xml:space="preserve"> </w:t>
      </w:r>
      <w:r w:rsidR="00791725">
        <w:t>24 mai</w:t>
      </w:r>
      <w:r w:rsidR="005B4B3B">
        <w:t xml:space="preserve"> </w:t>
      </w:r>
      <w:r w:rsidR="00294B2B">
        <w:t>2022</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B5AC" w14:textId="77777777" w:rsidR="001049D3" w:rsidRDefault="001049D3">
      <w:r>
        <w:separator/>
      </w:r>
    </w:p>
  </w:endnote>
  <w:endnote w:type="continuationSeparator" w:id="0">
    <w:p w14:paraId="69F8486B" w14:textId="77777777" w:rsidR="001049D3" w:rsidRDefault="0010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838E" w14:textId="77777777" w:rsidR="001049D3" w:rsidRDefault="001049D3">
      <w:r>
        <w:separator/>
      </w:r>
    </w:p>
  </w:footnote>
  <w:footnote w:type="continuationSeparator" w:id="0">
    <w:p w14:paraId="1C8045CB" w14:textId="77777777" w:rsidR="001049D3" w:rsidRDefault="001049D3">
      <w:r>
        <w:continuationSeparator/>
      </w:r>
    </w:p>
  </w:footnote>
  <w:footnote w:id="1">
    <w:p w14:paraId="18905CED" w14:textId="1B60AF6E" w:rsidR="00770CEB" w:rsidRDefault="00770CEB" w:rsidP="00AA5B6C">
      <w:pPr>
        <w:pStyle w:val="Notedebasdepage"/>
      </w:pPr>
      <w:r>
        <w:rPr>
          <w:rStyle w:val="Appelnotedebasdep"/>
        </w:rPr>
        <w:footnoteRef/>
      </w:r>
      <w:r>
        <w:t xml:space="preserve"> Voir par exemple : </w:t>
      </w:r>
      <w:proofErr w:type="spellStart"/>
      <w:r>
        <w:t>Vanoli</w:t>
      </w:r>
      <w:proofErr w:type="spellEnd"/>
      <w:r>
        <w:t>, 2002, p</w:t>
      </w:r>
      <w:r w:rsidR="00AA5B6C">
        <w:t>.</w:t>
      </w:r>
      <w:r>
        <w:t xml:space="preserve"> 421 à 449. </w:t>
      </w:r>
    </w:p>
  </w:footnote>
  <w:footnote w:id="2">
    <w:p w14:paraId="7549A226" w14:textId="77777777" w:rsidR="00770CEB" w:rsidRDefault="00770CEB" w:rsidP="00AA5B6C">
      <w:pPr>
        <w:pStyle w:val="Notedebasdepage"/>
      </w:pPr>
      <w:r>
        <w:rPr>
          <w:rStyle w:val="Appelnotedebasdep"/>
        </w:rPr>
        <w:footnoteRef/>
      </w:r>
      <w:r>
        <w:t xml:space="preserve"> L’évaluation socioéconomique des grands projets d’investissement vient compléter l’évaluation financière qui se concentre sur une analyse coût-bénéfice pour un acteur spécifique (sans prise en compte des externalités) et de l’évaluation environnementale qui cherche à établir les impacts environnementaux de ces grands projets environnementaux en termes non-monétaires (sans prise en compte des pertes de bien-être associées aux dégradations environnementales).</w:t>
      </w:r>
    </w:p>
  </w:footnote>
  <w:footnote w:id="3">
    <w:p w14:paraId="24DE7289" w14:textId="77777777" w:rsidR="00770CEB" w:rsidRPr="00F22462" w:rsidRDefault="00770CEB" w:rsidP="00770CEB">
      <w:pPr>
        <w:pStyle w:val="Notedebasdepage"/>
        <w:rPr>
          <w:lang w:val="en-GB"/>
        </w:rPr>
      </w:pPr>
      <w:r>
        <w:rPr>
          <w:rStyle w:val="Appelnotedebasdep"/>
        </w:rPr>
        <w:footnoteRef/>
      </w:r>
      <w:r w:rsidRPr="00F22462">
        <w:rPr>
          <w:lang w:val="en-GB"/>
        </w:rPr>
        <w:t xml:space="preserve"> </w:t>
      </w:r>
      <w:r w:rsidRPr="00DA6D1E">
        <w:rPr>
          <w:color w:val="000000" w:themeColor="text1"/>
          <w:lang w:val="en-GB"/>
        </w:rPr>
        <w:t>‘‘</w:t>
      </w:r>
      <w:r w:rsidRPr="00DA6D1E">
        <w:rPr>
          <w:i/>
          <w:color w:val="000000" w:themeColor="text1"/>
          <w:lang w:val="en-GB"/>
        </w:rPr>
        <w:t>Where there is no free market, there is no pricing mechanism; without a pricing mechanism, there is no economic calculation</w:t>
      </w:r>
      <w:r w:rsidRPr="00DA6D1E">
        <w:rPr>
          <w:color w:val="000000" w:themeColor="text1"/>
          <w:lang w:val="en-GB"/>
        </w:rPr>
        <w:t>’’.</w:t>
      </w:r>
    </w:p>
  </w:footnote>
  <w:footnote w:id="4">
    <w:p w14:paraId="04DCA673" w14:textId="77777777" w:rsidR="00770CEB" w:rsidRDefault="00770CEB" w:rsidP="00205CE5">
      <w:pPr>
        <w:pStyle w:val="Notedebasdepage"/>
      </w:pPr>
      <w:r w:rsidRPr="00791725">
        <w:rPr>
          <w:vertAlign w:val="superscript"/>
        </w:rPr>
        <w:footnoteRef/>
      </w:r>
      <w:r w:rsidRPr="00522B93">
        <w:t xml:space="preserve"> </w:t>
      </w:r>
      <w:r w:rsidRPr="00522B93">
        <w:rPr>
          <w:shd w:val="clear" w:color="auto" w:fill="FFFFFF"/>
        </w:rPr>
        <w:t>Les 17 objectifs de développement durable, et leurs 169 cibles</w:t>
      </w:r>
      <w:r>
        <w:rPr>
          <w:shd w:val="clear" w:color="auto" w:fill="FFFFFF"/>
        </w:rPr>
        <w:t>,</w:t>
      </w:r>
      <w:r w:rsidRPr="00522B93">
        <w:rPr>
          <w:shd w:val="clear" w:color="auto" w:fill="FFFFFF"/>
        </w:rPr>
        <w:t xml:space="preserve"> forment la base d’un agenda fixé par l’ONU en matière de lutte contre la pauvreté, les inégalité</w:t>
      </w:r>
      <w:r>
        <w:rPr>
          <w:shd w:val="clear" w:color="auto" w:fill="FFFFFF"/>
        </w:rPr>
        <w:t>s</w:t>
      </w:r>
      <w:r w:rsidRPr="00522B93">
        <w:rPr>
          <w:shd w:val="clear" w:color="auto" w:fill="FFFFFF"/>
        </w:rPr>
        <w:t xml:space="preserve">, le réchauffement climatique, </w:t>
      </w:r>
      <w:r>
        <w:rPr>
          <w:shd w:val="clear" w:color="auto" w:fill="FFFFFF"/>
        </w:rPr>
        <w:t>l</w:t>
      </w:r>
      <w:r w:rsidRPr="002574CE">
        <w:rPr>
          <w:shd w:val="clear" w:color="auto" w:fill="FFFFFF"/>
        </w:rPr>
        <w:t>’érosion de la biodiversité, etc. avec pour horizon l’année 2030.</w:t>
      </w:r>
    </w:p>
  </w:footnote>
  <w:footnote w:id="5">
    <w:p w14:paraId="1FEA317E" w14:textId="77777777" w:rsidR="00770CEB" w:rsidRPr="00DC4E40" w:rsidRDefault="00770CEB" w:rsidP="00205CE5">
      <w:pPr>
        <w:pStyle w:val="Notedebasdepage"/>
        <w:rPr>
          <w:rFonts w:eastAsia="Times New Roman"/>
          <w:lang w:eastAsia="fr-FR"/>
        </w:rPr>
      </w:pPr>
      <w:r w:rsidRPr="00791725">
        <w:rPr>
          <w:vertAlign w:val="superscript"/>
        </w:rPr>
        <w:footnoteRef/>
      </w:r>
      <w:r w:rsidRPr="00791725">
        <w:rPr>
          <w:vertAlign w:val="superscript"/>
        </w:rPr>
        <w:t xml:space="preserve"> </w:t>
      </w:r>
      <w:r w:rsidRPr="00DC4E40">
        <w:t>Ces comptes rassemblent des informations quantitatives – monétaires et non monétaires - sur des domaines où l’action de l’État est attendue. Il s’agit par exemple de la santé, de l’éducation, du logement, de la recherche, etc. et donc de l’environnement pour ce qui nous intéresse ici. Les comptes satellites sont cohérents avec le cadre central de la comptabilité nationale</w:t>
      </w:r>
    </w:p>
  </w:footnote>
  <w:footnote w:id="6">
    <w:p w14:paraId="2B47B114" w14:textId="77777777" w:rsidR="00770CEB" w:rsidRDefault="00770CEB" w:rsidP="00205CE5">
      <w:pPr>
        <w:pStyle w:val="Notedebasdepage"/>
      </w:pPr>
      <w:r w:rsidRPr="00791725">
        <w:rPr>
          <w:vertAlign w:val="superscript"/>
        </w:rPr>
        <w:footnoteRef/>
      </w:r>
      <w:r w:rsidRPr="001E2CB7">
        <w:t xml:space="preserve"> </w:t>
      </w:r>
      <w:r w:rsidRPr="001E2CB7">
        <w:rPr>
          <w:shd w:val="clear" w:color="auto" w:fill="FFFFFF"/>
        </w:rPr>
        <w:t>Règlement (UE) n ° 538/2014 du Parlement Européen et du Conseil du 16 avril 2014 modifiant le règlement (UE) n ° 691/2011 relatif aux comptes économiques européens de l'environnement</w:t>
      </w:r>
      <w:r>
        <w:rPr>
          <w:shd w:val="clear" w:color="auto" w:fill="FFFFFF"/>
        </w:rPr>
        <w:t>.</w:t>
      </w:r>
    </w:p>
  </w:footnote>
  <w:footnote w:id="7">
    <w:p w14:paraId="78610608" w14:textId="77777777" w:rsidR="00770CEB" w:rsidRDefault="00770CEB" w:rsidP="00205CE5">
      <w:pPr>
        <w:pStyle w:val="Notedebasdepage"/>
      </w:pPr>
      <w:r>
        <w:rPr>
          <w:rStyle w:val="Appelnotedebasdep"/>
        </w:rPr>
        <w:footnoteRef/>
      </w:r>
      <w:r>
        <w:t xml:space="preserve"> Pour une description de ce qu’est le taux d’actualisation, voir : </w:t>
      </w:r>
      <w:r w:rsidRPr="001A4C40">
        <w:t>https://laviedesidees.fr/Peut-on-fixer-le-prix-du-futur-de.html</w:t>
      </w:r>
    </w:p>
  </w:footnote>
  <w:footnote w:id="8">
    <w:p w14:paraId="3D3162D5" w14:textId="77777777" w:rsidR="00770CEB" w:rsidRDefault="00770CEB" w:rsidP="00205CE5">
      <w:pPr>
        <w:pStyle w:val="Notedebasdepage"/>
      </w:pPr>
      <w:r>
        <w:rPr>
          <w:rStyle w:val="Appelnotedebasdep"/>
        </w:rPr>
        <w:footnoteRef/>
      </w:r>
      <w:r>
        <w:t xml:space="preserve"> Soulignons que les valeurs tutélaires choisies par la puissance publique accordent une très forte valeur </w:t>
      </w:r>
      <w:r w:rsidRPr="00205CE5">
        <w:t>au</w:t>
      </w:r>
      <w:r>
        <w:t xml:space="preserve"> temps, qui « écrase » quelque peu les autres valeurs et permet de justifier assez facilement l’intérêt social qui existe à construire de nouvelles infrastructures de transport. </w:t>
      </w:r>
    </w:p>
  </w:footnote>
  <w:footnote w:id="9">
    <w:p w14:paraId="2AA95E05" w14:textId="77777777" w:rsidR="00770CEB" w:rsidRDefault="00770CEB" w:rsidP="00770CEB">
      <w:pPr>
        <w:pStyle w:val="Notedebasdepage"/>
        <w:jc w:val="both"/>
      </w:pPr>
      <w:r>
        <w:rPr>
          <w:rStyle w:val="Appelnotedebasdep"/>
        </w:rPr>
        <w:footnoteRef/>
      </w:r>
      <w:r>
        <w:t xml:space="preserve"> C’est le cas par exemple du pêcheur à pied qui va pratiquer son activité sur une plage deux ou trois fois par an : il existe ainsi des dizaines de petits services qui sont fournis par la biodiversité aux « petits usagers » de la nature et tous ces services sont le plus souvent « invisibles » dans les procédures d’indemnisation. Pourtant, lorsqu’on additionne les pertes, on constate que le bien-être social qui a été détruit est au total très élevé.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49D3"/>
    <w:rsid w:val="00106373"/>
    <w:rsid w:val="00123D5E"/>
    <w:rsid w:val="001264AC"/>
    <w:rsid w:val="00171413"/>
    <w:rsid w:val="001A60CD"/>
    <w:rsid w:val="001B22FA"/>
    <w:rsid w:val="001C0661"/>
    <w:rsid w:val="001E233F"/>
    <w:rsid w:val="001E4C4E"/>
    <w:rsid w:val="001F2932"/>
    <w:rsid w:val="00205CE5"/>
    <w:rsid w:val="00231FE5"/>
    <w:rsid w:val="00235E3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9476C"/>
    <w:rsid w:val="005A77EA"/>
    <w:rsid w:val="005B4B3B"/>
    <w:rsid w:val="005C5829"/>
    <w:rsid w:val="005D5D24"/>
    <w:rsid w:val="00604921"/>
    <w:rsid w:val="00613391"/>
    <w:rsid w:val="00617961"/>
    <w:rsid w:val="00632336"/>
    <w:rsid w:val="0063372A"/>
    <w:rsid w:val="00637962"/>
    <w:rsid w:val="006432B1"/>
    <w:rsid w:val="00681218"/>
    <w:rsid w:val="00685886"/>
    <w:rsid w:val="006B5F5A"/>
    <w:rsid w:val="006E7A74"/>
    <w:rsid w:val="0072515D"/>
    <w:rsid w:val="0073080B"/>
    <w:rsid w:val="00740D4F"/>
    <w:rsid w:val="00754EA9"/>
    <w:rsid w:val="00756228"/>
    <w:rsid w:val="00763CD8"/>
    <w:rsid w:val="007701E0"/>
    <w:rsid w:val="00770CEB"/>
    <w:rsid w:val="00787779"/>
    <w:rsid w:val="00791725"/>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A5B6C"/>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Car4 Car,Footnote Text Char Car Car,Car Car Car,Footnote Text Char Car, Car4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Car4 Car Car,Footnote Text Char Car Car Car,Car Car Car Car,Footnote Text Char Car Car1, Car4 Car Car, Car Car Car Car, Car Car"/>
    <w:basedOn w:val="Policepardfaut"/>
    <w:link w:val="Notedebasdepage"/>
    <w:rsid w:val="00961394"/>
    <w:rPr>
      <w:rFonts w:ascii="Adobe Caslon Pro" w:hAnsi="Adobe Caslon Pro"/>
      <w:lang w:eastAsia="en-US"/>
    </w:rPr>
  </w:style>
  <w:style w:type="character" w:styleId="Appelnotedebasdep">
    <w:name w:val="footnote reference"/>
    <w:aliases w:val="Appel note de bas de pag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quae-biblio">
    <w:name w:val="quae-biblio"/>
    <w:basedOn w:val="Normal"/>
    <w:next w:val="Normal"/>
    <w:link w:val="quae-biblioCar"/>
    <w:rsid w:val="00770CEB"/>
    <w:pPr>
      <w:widowControl w:val="0"/>
      <w:suppressLineNumbers/>
      <w:spacing w:before="120"/>
      <w:jc w:val="both"/>
    </w:pPr>
  </w:style>
  <w:style w:type="character" w:customStyle="1" w:styleId="quae-biblioCar">
    <w:name w:val="quae-biblio Car"/>
    <w:link w:val="quae-biblio"/>
    <w:rsid w:val="00770CEB"/>
    <w:rPr>
      <w:rFonts w:eastAsia="Times New Roman"/>
      <w:sz w:val="24"/>
      <w:szCs w:val="24"/>
      <w:bdr w:val="none" w:sz="0" w:space="0" w:color="auto"/>
    </w:rPr>
  </w:style>
  <w:style w:type="character" w:styleId="Mentionnonrsolue">
    <w:name w:val="Unresolved Mention"/>
    <w:basedOn w:val="Policepardfaut"/>
    <w:uiPriority w:val="99"/>
    <w:rsid w:val="0020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3830002">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769421385">
      <w:bodyDiv w:val="1"/>
      <w:marLeft w:val="0"/>
      <w:marRight w:val="0"/>
      <w:marTop w:val="0"/>
      <w:marBottom w:val="0"/>
      <w:divBdr>
        <w:top w:val="none" w:sz="0" w:space="0" w:color="auto"/>
        <w:left w:val="none" w:sz="0" w:space="0" w:color="auto"/>
        <w:bottom w:val="none" w:sz="0" w:space="0" w:color="auto"/>
        <w:right w:val="none" w:sz="0" w:space="0" w:color="auto"/>
      </w:divBdr>
      <w:divsChild>
        <w:div w:id="980882930">
          <w:marLeft w:val="0"/>
          <w:marRight w:val="0"/>
          <w:marTop w:val="0"/>
          <w:marBottom w:val="0"/>
          <w:divBdr>
            <w:top w:val="none" w:sz="0" w:space="0" w:color="auto"/>
            <w:left w:val="none" w:sz="0" w:space="0" w:color="auto"/>
            <w:bottom w:val="none" w:sz="0" w:space="0" w:color="auto"/>
            <w:right w:val="none" w:sz="0" w:space="0" w:color="auto"/>
          </w:divBdr>
          <w:divsChild>
            <w:div w:id="1605334649">
              <w:marLeft w:val="0"/>
              <w:marRight w:val="0"/>
              <w:marTop w:val="0"/>
              <w:marBottom w:val="0"/>
              <w:divBdr>
                <w:top w:val="none" w:sz="0" w:space="0" w:color="auto"/>
                <w:left w:val="none" w:sz="0" w:space="0" w:color="auto"/>
                <w:bottom w:val="none" w:sz="0" w:space="0" w:color="auto"/>
                <w:right w:val="none" w:sz="0" w:space="0" w:color="auto"/>
              </w:divBdr>
              <w:divsChild>
                <w:div w:id="1743796330">
                  <w:marLeft w:val="0"/>
                  <w:marRight w:val="0"/>
                  <w:marTop w:val="0"/>
                  <w:marBottom w:val="0"/>
                  <w:divBdr>
                    <w:top w:val="none" w:sz="0" w:space="0" w:color="auto"/>
                    <w:left w:val="none" w:sz="0" w:space="0" w:color="auto"/>
                    <w:bottom w:val="none" w:sz="0" w:space="0" w:color="auto"/>
                    <w:right w:val="none" w:sz="0" w:space="0" w:color="auto"/>
                  </w:divBdr>
                  <w:divsChild>
                    <w:div w:id="1017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haire-comptabilite-ecologique.fr/" TargetMode="External"/><Relationship Id="rId4" Type="http://schemas.openxmlformats.org/officeDocument/2006/relationships/styles" Target="styles.xml"/><Relationship Id="rId9" Type="http://schemas.openxmlformats.org/officeDocument/2006/relationships/hyperlink" Target="https://seea.un.org/ecosystem-accoun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4E5E29-A5F3-C84B-A275-13652D0F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14</Pages>
  <Words>4714</Words>
  <Characters>25933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2022-05-24T07:01:00Z</dcterms:created>
  <dcterms:modified xsi:type="dcterms:W3CDTF">2022-05-24T07:04:00Z</dcterms:modified>
</cp:coreProperties>
</file>