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EA7C7" w14:textId="77777777" w:rsidR="0063372A" w:rsidRDefault="0063372A" w:rsidP="0063372A">
      <w:pPr>
        <w:outlineLvl w:val="0"/>
        <w:rPr>
          <w:rFonts w:ascii="Times" w:hAnsi="Times"/>
        </w:rPr>
      </w:pPr>
    </w:p>
    <w:p w14:paraId="31873F28" w14:textId="6F4D13A2" w:rsidR="00E75C6B" w:rsidRDefault="00722343" w:rsidP="00E75C6B">
      <w:pPr>
        <w:pStyle w:val="VDITitre"/>
      </w:pPr>
      <w:r>
        <w:t>Penser le social, faire de l’anthropologie</w:t>
      </w:r>
    </w:p>
    <w:p w14:paraId="2C8EAE69" w14:textId="3C965F9F" w:rsidR="00E75C6B" w:rsidRPr="008F3232" w:rsidRDefault="008B1967" w:rsidP="008F3232">
      <w:pPr>
        <w:pStyle w:val="VDIAuteur"/>
      </w:pPr>
      <w:proofErr w:type="gramStart"/>
      <w:r>
        <w:t>p</w:t>
      </w:r>
      <w:r w:rsidR="00E75C6B" w:rsidRPr="00C76BEB">
        <w:t>ar</w:t>
      </w:r>
      <w:proofErr w:type="gramEnd"/>
      <w:r w:rsidR="00E75C6B" w:rsidRPr="00C76BEB">
        <w:t xml:space="preserve"> </w:t>
      </w:r>
      <w:r w:rsidR="00722343">
        <w:t xml:space="preserve">Chloé </w:t>
      </w:r>
      <w:proofErr w:type="spellStart"/>
      <w:r w:rsidR="00722343">
        <w:t>Mondémé</w:t>
      </w:r>
      <w:proofErr w:type="spellEnd"/>
    </w:p>
    <w:p w14:paraId="229C2E21" w14:textId="77777777" w:rsidR="00722343" w:rsidRPr="004D6041" w:rsidRDefault="00722343" w:rsidP="00722343">
      <w:pPr>
        <w:pStyle w:val="VDIChapo"/>
      </w:pPr>
      <w:proofErr w:type="spellStart"/>
      <w:r w:rsidRPr="004D6041">
        <w:t>Définir</w:t>
      </w:r>
      <w:proofErr w:type="spellEnd"/>
      <w:r w:rsidRPr="004D6041">
        <w:t xml:space="preserve"> </w:t>
      </w:r>
      <w:proofErr w:type="spellStart"/>
      <w:r w:rsidRPr="004D6041">
        <w:t>le</w:t>
      </w:r>
      <w:proofErr w:type="spellEnd"/>
      <w:r w:rsidRPr="004D6041">
        <w:t xml:space="preserve"> </w:t>
      </w:r>
      <w:proofErr w:type="spellStart"/>
      <w:r w:rsidRPr="004D6041">
        <w:t>social</w:t>
      </w:r>
      <w:proofErr w:type="spellEnd"/>
      <w:r w:rsidRPr="004D6041">
        <w:t xml:space="preserve"> </w:t>
      </w:r>
      <w:r>
        <w:t xml:space="preserve">de </w:t>
      </w:r>
      <w:proofErr w:type="spellStart"/>
      <w:r>
        <w:t>telle</w:t>
      </w:r>
      <w:proofErr w:type="spellEnd"/>
      <w:r>
        <w:t xml:space="preserve"> </w:t>
      </w:r>
      <w:proofErr w:type="spellStart"/>
      <w:r>
        <w:t>sorte</w:t>
      </w:r>
      <w:proofErr w:type="spellEnd"/>
      <w:r>
        <w:t xml:space="preserve"> </w:t>
      </w:r>
      <w:proofErr w:type="spellStart"/>
      <w:r>
        <w:t>qu’il</w:t>
      </w:r>
      <w:proofErr w:type="spellEnd"/>
      <w:r>
        <w:t xml:space="preserve"> </w:t>
      </w:r>
      <w:proofErr w:type="spellStart"/>
      <w:r>
        <w:t>puisse</w:t>
      </w:r>
      <w:proofErr w:type="spellEnd"/>
      <w:r>
        <w:t xml:space="preserve"> non </w:t>
      </w:r>
      <w:proofErr w:type="spellStart"/>
      <w:r>
        <w:t>seulement</w:t>
      </w:r>
      <w:proofErr w:type="spellEnd"/>
      <w:r>
        <w:t xml:space="preserve"> </w:t>
      </w:r>
      <w:proofErr w:type="spellStart"/>
      <w:r>
        <w:t>inclure</w:t>
      </w:r>
      <w:proofErr w:type="spellEnd"/>
      <w:r>
        <w:t xml:space="preserve"> les </w:t>
      </w:r>
      <w:proofErr w:type="spellStart"/>
      <w:r>
        <w:t>animaux</w:t>
      </w:r>
      <w:proofErr w:type="spellEnd"/>
      <w:r>
        <w:t xml:space="preserve">, mais </w:t>
      </w:r>
      <w:proofErr w:type="spellStart"/>
      <w:r>
        <w:t>aussi</w:t>
      </w:r>
      <w:proofErr w:type="spellEnd"/>
      <w:r>
        <w:t xml:space="preserve"> </w:t>
      </w:r>
      <w:proofErr w:type="spellStart"/>
      <w:r>
        <w:t>toutes</w:t>
      </w:r>
      <w:proofErr w:type="spellEnd"/>
      <w:r>
        <w:t xml:space="preserve"> les relations </w:t>
      </w:r>
      <w:proofErr w:type="spellStart"/>
      <w:r>
        <w:t>entre</w:t>
      </w:r>
      <w:proofErr w:type="spellEnd"/>
      <w:r>
        <w:t xml:space="preserve"> les </w:t>
      </w:r>
      <w:proofErr w:type="spellStart"/>
      <w:proofErr w:type="gramStart"/>
      <w:r>
        <w:t>espèces</w:t>
      </w:r>
      <w:proofErr w:type="spellEnd"/>
      <w:r>
        <w:t> :</w:t>
      </w:r>
      <w:proofErr w:type="gramEnd"/>
      <w:r>
        <w:t xml:space="preserve"> </w:t>
      </w:r>
      <w:proofErr w:type="spellStart"/>
      <w:r>
        <w:t>c’est</w:t>
      </w:r>
      <w:proofErr w:type="spellEnd"/>
      <w:r>
        <w:t xml:space="preserve"> </w:t>
      </w:r>
      <w:proofErr w:type="spellStart"/>
      <w:r>
        <w:t>ce</w:t>
      </w:r>
      <w:proofErr w:type="spellEnd"/>
      <w:r>
        <w:t xml:space="preserve"> </w:t>
      </w:r>
      <w:proofErr w:type="spellStart"/>
      <w:r>
        <w:t>qu’entend</w:t>
      </w:r>
      <w:proofErr w:type="spellEnd"/>
      <w:r>
        <w:t xml:space="preserve"> faire T. </w:t>
      </w:r>
      <w:proofErr w:type="spellStart"/>
      <w:r>
        <w:t>Ingold</w:t>
      </w:r>
      <w:proofErr w:type="spellEnd"/>
      <w:r>
        <w:t xml:space="preserve"> dans </w:t>
      </w:r>
      <w:proofErr w:type="spellStart"/>
      <w:r>
        <w:t>ce</w:t>
      </w:r>
      <w:proofErr w:type="spellEnd"/>
      <w:r>
        <w:t xml:space="preserve"> recueil </w:t>
      </w:r>
      <w:proofErr w:type="spellStart"/>
      <w:r>
        <w:t>d’articles</w:t>
      </w:r>
      <w:proofErr w:type="spellEnd"/>
      <w:r>
        <w:t xml:space="preserve">. Le </w:t>
      </w:r>
      <w:proofErr w:type="spellStart"/>
      <w:r>
        <w:t>défi</w:t>
      </w:r>
      <w:proofErr w:type="spellEnd"/>
      <w:r>
        <w:t xml:space="preserve"> </w:t>
      </w:r>
      <w:proofErr w:type="spellStart"/>
      <w:r>
        <w:t>est</w:t>
      </w:r>
      <w:proofErr w:type="spellEnd"/>
      <w:r>
        <w:t xml:space="preserve"> grand, mais à la </w:t>
      </w:r>
      <w:proofErr w:type="spellStart"/>
      <w:r>
        <w:t>hauteur</w:t>
      </w:r>
      <w:proofErr w:type="spellEnd"/>
      <w:r>
        <w:t xml:space="preserve"> de </w:t>
      </w:r>
      <w:proofErr w:type="spellStart"/>
      <w:r>
        <w:t>ce</w:t>
      </w:r>
      <w:proofErr w:type="spellEnd"/>
      <w:r>
        <w:t xml:space="preserve"> que </w:t>
      </w:r>
      <w:proofErr w:type="spellStart"/>
      <w:r>
        <w:t>demande</w:t>
      </w:r>
      <w:proofErr w:type="spellEnd"/>
      <w:r>
        <w:t xml:space="preserve"> </w:t>
      </w:r>
      <w:proofErr w:type="spellStart"/>
      <w:r>
        <w:t>aujourd’hui</w:t>
      </w:r>
      <w:proofErr w:type="spellEnd"/>
      <w:r>
        <w:t xml:space="preserve"> </w:t>
      </w:r>
      <w:proofErr w:type="spellStart"/>
      <w:r>
        <w:t>une</w:t>
      </w:r>
      <w:proofErr w:type="spellEnd"/>
      <w:r>
        <w:t xml:space="preserve"> </w:t>
      </w:r>
      <w:proofErr w:type="spellStart"/>
      <w:r>
        <w:t>anthropologie</w:t>
      </w:r>
      <w:proofErr w:type="spellEnd"/>
      <w:r>
        <w:t xml:space="preserve"> </w:t>
      </w:r>
      <w:proofErr w:type="spellStart"/>
      <w:r>
        <w:t>écologique</w:t>
      </w:r>
      <w:proofErr w:type="spellEnd"/>
      <w:r>
        <w:t xml:space="preserve">. </w:t>
      </w:r>
    </w:p>
    <w:p w14:paraId="50190203" w14:textId="5CA278AF" w:rsidR="00722343" w:rsidRPr="00722343" w:rsidRDefault="00C12112" w:rsidP="00722343">
      <w:pPr>
        <w:pStyle w:val="VDIRecens"/>
      </w:pPr>
      <w:r w:rsidRPr="00722343">
        <w:t>À propos de</w:t>
      </w:r>
      <w:r w:rsidR="00CE701F" w:rsidRPr="00722343">
        <w:t> :</w:t>
      </w:r>
      <w:r w:rsidR="00722343" w:rsidRPr="00722343">
        <w:t xml:space="preserve"> </w:t>
      </w:r>
      <w:r w:rsidR="00722343" w:rsidRPr="00722343">
        <w:rPr>
          <w:rFonts w:ascii="Times New Roman" w:hAnsi="Times New Roman"/>
        </w:rPr>
        <w:t xml:space="preserve">Tim Ingold, </w:t>
      </w:r>
      <w:r w:rsidR="00722343" w:rsidRPr="00722343">
        <w:rPr>
          <w:rFonts w:ascii="Times New Roman" w:hAnsi="Times New Roman"/>
          <w:i/>
        </w:rPr>
        <w:t>Machiavel chez les babouins. Pour une anthropologie au-delà de l'humain</w:t>
      </w:r>
      <w:r w:rsidR="00722343" w:rsidRPr="00722343">
        <w:rPr>
          <w:rFonts w:ascii="Times New Roman" w:hAnsi="Times New Roman"/>
        </w:rPr>
        <w:t xml:space="preserve">, Paris, </w:t>
      </w:r>
      <w:proofErr w:type="spellStart"/>
      <w:r w:rsidR="00722343" w:rsidRPr="00722343">
        <w:rPr>
          <w:rFonts w:ascii="Times New Roman" w:hAnsi="Times New Roman"/>
        </w:rPr>
        <w:t>Asinamali</w:t>
      </w:r>
      <w:proofErr w:type="spellEnd"/>
      <w:r w:rsidR="00722343" w:rsidRPr="00722343">
        <w:rPr>
          <w:rFonts w:ascii="Times New Roman" w:hAnsi="Times New Roman"/>
        </w:rPr>
        <w:t>, 2021, 282 p., 22 €.</w:t>
      </w:r>
    </w:p>
    <w:p w14:paraId="42FBEC84" w14:textId="16BC426E" w:rsidR="00722343" w:rsidRPr="004D58F6" w:rsidRDefault="00722343" w:rsidP="004D58F6">
      <w:pPr>
        <w:pStyle w:val="Corps"/>
      </w:pPr>
      <w:r w:rsidRPr="008E59CB">
        <w:t>Décidément, les chercheurs en sciences humaines et sociales ont quelque chose avec les babouins. C’est en tous cas ce que l’on se dit en découvrant le titre du dernier livre de Tim Ingold paru en français</w:t>
      </w:r>
      <w:r>
        <w:t xml:space="preserve"> sous le titre</w:t>
      </w:r>
      <w:r w:rsidRPr="008E59CB">
        <w:t xml:space="preserve"> </w:t>
      </w:r>
      <w:r w:rsidRPr="008E59CB">
        <w:rPr>
          <w:i/>
          <w:iCs/>
        </w:rPr>
        <w:t>Machiavel chez les babouins</w:t>
      </w:r>
      <w:r w:rsidRPr="008E59CB">
        <w:t>.</w:t>
      </w:r>
      <w:r>
        <w:t xml:space="preserve"> </w:t>
      </w:r>
      <w:r w:rsidRPr="006F14F0">
        <w:rPr>
          <w:i/>
          <w:iCs/>
        </w:rPr>
        <w:t>Pour une anthropologie au-delà de l’humain.</w:t>
      </w:r>
      <w:r w:rsidRPr="008E59CB">
        <w:t xml:space="preserve"> On y lit une évidente allusion à l’ouvrage des primatologues </w:t>
      </w:r>
      <w:proofErr w:type="spellStart"/>
      <w:r w:rsidRPr="008E59CB">
        <w:t>Whiten</w:t>
      </w:r>
      <w:proofErr w:type="spellEnd"/>
      <w:r w:rsidRPr="008E59CB">
        <w:t xml:space="preserve"> et Byrne (</w:t>
      </w:r>
      <w:proofErr w:type="spellStart"/>
      <w:r w:rsidRPr="008E59CB">
        <w:rPr>
          <w:i/>
          <w:iCs/>
        </w:rPr>
        <w:t>Machiavellian</w:t>
      </w:r>
      <w:proofErr w:type="spellEnd"/>
      <w:r w:rsidRPr="008E59CB">
        <w:rPr>
          <w:i/>
          <w:iCs/>
        </w:rPr>
        <w:t xml:space="preserve"> Intelligence</w:t>
      </w:r>
      <w:r w:rsidRPr="008E59CB">
        <w:t>) qui</w:t>
      </w:r>
      <w:r>
        <w:t>,</w:t>
      </w:r>
      <w:r w:rsidRPr="008E59CB">
        <w:t xml:space="preserve"> il y trente ans</w:t>
      </w:r>
      <w:r>
        <w:t xml:space="preserve">, </w:t>
      </w:r>
      <w:r w:rsidRPr="008E59CB">
        <w:t xml:space="preserve">développaient des considérations sur </w:t>
      </w:r>
      <w:r w:rsidRPr="006F14F0">
        <w:t xml:space="preserve">les stratégies </w:t>
      </w:r>
      <w:r>
        <w:t xml:space="preserve">sociales </w:t>
      </w:r>
      <w:r w:rsidRPr="006F14F0">
        <w:t>d’alliance</w:t>
      </w:r>
      <w:r w:rsidRPr="008E59CB">
        <w:t xml:space="preserve"> </w:t>
      </w:r>
      <w:r>
        <w:t>chez les</w:t>
      </w:r>
      <w:r w:rsidRPr="008E59CB">
        <w:t xml:space="preserve"> </w:t>
      </w:r>
      <w:r>
        <w:t>primates</w:t>
      </w:r>
      <w:r w:rsidRPr="008E59CB">
        <w:rPr>
          <w:rStyle w:val="Appelnotedebasdep"/>
          <w:rFonts w:asciiTheme="majorBidi" w:eastAsia="Meiryo" w:hAnsiTheme="majorBidi" w:cstheme="majorBidi"/>
        </w:rPr>
        <w:footnoteReference w:id="1"/>
      </w:r>
      <w:r w:rsidRPr="008E59CB">
        <w:t xml:space="preserve">, mais </w:t>
      </w:r>
      <w:r>
        <w:t>aussi aux</w:t>
      </w:r>
      <w:r w:rsidRPr="008E59CB">
        <w:t xml:space="preserve"> textes </w:t>
      </w:r>
      <w:r>
        <w:t>que</w:t>
      </w:r>
      <w:r w:rsidRPr="008E59CB">
        <w:t xml:space="preserve"> </w:t>
      </w:r>
      <w:r>
        <w:t xml:space="preserve">le sociologue Bruno </w:t>
      </w:r>
      <w:proofErr w:type="spellStart"/>
      <w:r w:rsidRPr="008E59CB">
        <w:t>Latour</w:t>
      </w:r>
      <w:proofErr w:type="spellEnd"/>
      <w:r>
        <w:t xml:space="preserve">, conjointement avec la primatologue </w:t>
      </w:r>
      <w:r w:rsidRPr="008E59CB">
        <w:t xml:space="preserve">Shirley </w:t>
      </w:r>
      <w:proofErr w:type="spellStart"/>
      <w:r w:rsidRPr="008E59CB">
        <w:t>Strum</w:t>
      </w:r>
      <w:proofErr w:type="spellEnd"/>
      <w:r>
        <w:rPr>
          <w:rStyle w:val="Appelnotedebasdep"/>
          <w:rFonts w:asciiTheme="majorBidi" w:eastAsia="Meiryo" w:hAnsiTheme="majorBidi" w:cstheme="majorBidi"/>
        </w:rPr>
        <w:footnoteReference w:id="2"/>
      </w:r>
      <w:r>
        <w:t xml:space="preserve">, avait consacrés à comparer société humaine et </w:t>
      </w:r>
      <w:r>
        <w:lastRenderedPageBreak/>
        <w:t>organisation sociale babouine</w:t>
      </w:r>
      <w:r w:rsidRPr="008E59CB">
        <w:t>. Mais de babouins, finalement, il en sera assez peu question dans cet ouvrage</w:t>
      </w:r>
      <w:r>
        <w:t>. Au contraire même, la conception dite « machiavélienne » du social y sera à ce point vivement critiquée que le titre choisi par l’éditeur français pourrait apparaître comme un contresens</w:t>
      </w:r>
      <w:r w:rsidRPr="008E59CB">
        <w:rPr>
          <w:rStyle w:val="Appelnotedebasdep"/>
          <w:rFonts w:asciiTheme="majorBidi" w:eastAsia="Meiryo" w:hAnsiTheme="majorBidi" w:cstheme="majorBidi"/>
        </w:rPr>
        <w:footnoteReference w:id="3"/>
      </w:r>
      <w:r>
        <w:t>.</w:t>
      </w:r>
    </w:p>
    <w:p w14:paraId="79300CAE" w14:textId="4D0A6EEC" w:rsidR="00722343" w:rsidRPr="00722343" w:rsidRDefault="00722343" w:rsidP="00722343">
      <w:pPr>
        <w:pStyle w:val="Corps"/>
      </w:pPr>
      <w:r>
        <w:t xml:space="preserve">Le recueil livre sept traductions inédites (agrémentées d’un prologue </w:t>
      </w:r>
      <w:r w:rsidRPr="006F14F0">
        <w:rPr>
          <w:i/>
          <w:iCs/>
        </w:rPr>
        <w:t>ad hoc</w:t>
      </w:r>
      <w:r>
        <w:t>) d’articles ou de chapitres d’ouvrages, qui s’échelonnent de la fin des années 1980 – période où Ingold publie ses premières grandes monographies issues de ses terrains en Laponie Finlandaise et coordonne ses premiers ouvrages collectifs avec des chercheurs issus d’horizons disciplinaires divers</w:t>
      </w:r>
      <w:r>
        <w:rPr>
          <w:rStyle w:val="Appelnotedebasdep"/>
          <w:rFonts w:asciiTheme="majorBidi" w:eastAsia="Meiryo" w:hAnsiTheme="majorBidi" w:cstheme="majorBidi"/>
        </w:rPr>
        <w:footnoteReference w:id="4"/>
      </w:r>
      <w:r>
        <w:t xml:space="preserve"> – aux années 2000. La première interrogation qui frappe le lecteur concerne le choix des textes présentés : pourquoi ceux-ci plus que d’autres ? Qu’est-ce qui a présidé à leur sélection et à leur agencement ? Un travail éditorial plus complet aurait pu offrir des réponses à ces questions en proposant au lecteur francophone, peut-être non familier, une présentation de la grande singularité d’Ingold dans le paysage anthropologique européen</w:t>
      </w:r>
      <w:r w:rsidRPr="008E59CB">
        <w:rPr>
          <w:rStyle w:val="Appelnotedebasdep"/>
          <w:rFonts w:asciiTheme="majorBidi" w:eastAsia="Meiryo" w:hAnsiTheme="majorBidi" w:cstheme="majorBidi"/>
        </w:rPr>
        <w:footnoteReference w:id="5"/>
      </w:r>
      <w:r>
        <w:t xml:space="preserve"> notamment dans ses dialogues soutenus avec les disciplines des sciences de la vie. Cela aurait surtout eu la vertu de l’éclairer sur les métamorphoses d’une pensée originale, car comme Ingold le dit lui-même dans son prologue (heureux expédient à une préface étique), au cours de toutes ces années et sur ces sujets aussi capitaux que la définition du social, l’objet de l’anthropologie, ou les frontières de l’humanité : « [il a] changé d’avis » (p. 25).</w:t>
      </w:r>
    </w:p>
    <w:p w14:paraId="567A00EA" w14:textId="22C2657D" w:rsidR="00722343" w:rsidRPr="004D58F6" w:rsidRDefault="00722343" w:rsidP="004D58F6">
      <w:pPr>
        <w:pStyle w:val="Corps"/>
      </w:pPr>
      <w:r>
        <w:t xml:space="preserve">« L’anthropologie au-delà de l’humain » dont il est question dans ce recueil n’est pas exactement celle, apparemment homonyme, qu’Eduardo </w:t>
      </w:r>
      <w:proofErr w:type="spellStart"/>
      <w:r>
        <w:t>Kohn</w:t>
      </w:r>
      <w:proofErr w:type="spellEnd"/>
      <w:r>
        <w:t xml:space="preserve"> appelle de ses vœux dans son ouvrage de 2013</w:t>
      </w:r>
      <w:r>
        <w:rPr>
          <w:rStyle w:val="Appelnotedebasdep"/>
          <w:rFonts w:asciiTheme="majorBidi" w:eastAsia="Meiryo" w:hAnsiTheme="majorBidi" w:cstheme="majorBidi"/>
        </w:rPr>
        <w:footnoteReference w:id="6"/>
      </w:r>
      <w:r>
        <w:t xml:space="preserve">. Il s’agit d’une anthropologie qui accepte une définition du social qui puisse admettre non seulement les animaux en son sein – à condition qu’on reconnaisse à ceux-ci certains des attributs que l’on tient pour spécifiquement humains, comme la capacité à agir de manière intentionnelle – mais </w:t>
      </w:r>
      <w:r>
        <w:lastRenderedPageBreak/>
        <w:t xml:space="preserve">aussi, et c’est plus original, les relations sociales interspécifiques. Si l’on devait d’ailleurs résumer le problème central auquel l’ensemble de ces textes semble s’attaquer, ce serait sans doute : </w:t>
      </w:r>
      <w:r w:rsidRPr="006F14F0">
        <w:rPr>
          <w:i/>
          <w:iCs/>
        </w:rPr>
        <w:t>qu’est-ce que le social ?</w:t>
      </w:r>
      <w:r>
        <w:t xml:space="preserve"> Une question majeure autant pour l’anthropologie sociale et culturelle que pour la biologie de l’évolution, en particulier pour l’écologie comportementale et l’éthologie. C’est à préciser, opposer, et faire dialoguer ces différentes conceptions du social qu’Ingold s’emploie tout au long de ces travaux – afin d’élaborer la sienne propre, dans une veine qui se révèle clairement phénoménologique. </w:t>
      </w:r>
    </w:p>
    <w:p w14:paraId="1234E053" w14:textId="20B38A03" w:rsidR="00722343" w:rsidRPr="004D58F6" w:rsidRDefault="00722343" w:rsidP="004D58F6">
      <w:pPr>
        <w:pStyle w:val="VDIIntertitre"/>
      </w:pPr>
      <w:r w:rsidRPr="006F14F0">
        <w:t>Interfaces disciplinaires</w:t>
      </w:r>
    </w:p>
    <w:p w14:paraId="118E7FCF" w14:textId="77777777" w:rsidR="00722343" w:rsidRPr="00D074B5" w:rsidRDefault="00722343" w:rsidP="00722343">
      <w:pPr>
        <w:pStyle w:val="Corps"/>
      </w:pPr>
      <w:r w:rsidRPr="00D074B5">
        <w:t>L’originalité d’Ingold tient en grande partie à l’alliance féconde, et informée, qu’il parvient à établir entre anthropologie biologique, à dominante évolutionniste</w:t>
      </w:r>
      <w:r>
        <w:t>,</w:t>
      </w:r>
      <w:r w:rsidRPr="00D074B5">
        <w:t xml:space="preserve"> et l’anthropologie sociale</w:t>
      </w:r>
      <w:r w:rsidRPr="00D074B5">
        <w:rPr>
          <w:rStyle w:val="Appelnotedebasdep"/>
          <w:rFonts w:asciiTheme="majorBidi" w:eastAsia="Meiryo" w:hAnsiTheme="majorBidi" w:cstheme="majorBidi"/>
          <w:color w:val="000000" w:themeColor="text1"/>
        </w:rPr>
        <w:footnoteReference w:id="7"/>
      </w:r>
      <w:r w:rsidRPr="00D074B5">
        <w:t xml:space="preserve"> – au cœur de luttes fratricides dans bien des départements d’anthropologie </w:t>
      </w:r>
      <w:r>
        <w:t xml:space="preserve">du monde anglo-saxon </w:t>
      </w:r>
      <w:r w:rsidRPr="00D074B5">
        <w:t xml:space="preserve">(là où en France </w:t>
      </w:r>
      <w:r>
        <w:t>ces domaines sont maintenus dans des cursus relativement séparés</w:t>
      </w:r>
      <w:r w:rsidRPr="00D074B5">
        <w:t>)</w:t>
      </w:r>
      <w:r>
        <w:t>.</w:t>
      </w:r>
    </w:p>
    <w:p w14:paraId="22C9EFC2" w14:textId="77777777" w:rsidR="00722343" w:rsidRDefault="00722343" w:rsidP="00722343">
      <w:pPr>
        <w:pStyle w:val="Corps"/>
      </w:pPr>
      <w:r w:rsidRPr="00D074B5">
        <w:t>Dès ses premiers travaux, il s’est toujours situé sur cette ligne de crête qui consiste à voir en l’humain l’animal qu’il est sur un plan biologique, sans vouloir réduire l’explication des comportements sociaux et culturels à des mécanismes génétiques</w:t>
      </w:r>
      <w:r>
        <w:t xml:space="preserve">. Son </w:t>
      </w:r>
      <w:proofErr w:type="spellStart"/>
      <w:r>
        <w:t>anti-réductionnisme</w:t>
      </w:r>
      <w:proofErr w:type="spellEnd"/>
      <w:r>
        <w:t xml:space="preserve"> est maintes fois réaffirmé </w:t>
      </w:r>
      <w:r w:rsidRPr="00D074B5">
        <w:t>: « le problème, dans l’étude de l’évolution, c’est d’analyser l’interaction dynamique et réciproque des domaines physique et social de la vie sans faire de l’un le dérivé direct de l’autre » (p</w:t>
      </w:r>
      <w:r>
        <w:t xml:space="preserve">. </w:t>
      </w:r>
      <w:r w:rsidRPr="00D074B5">
        <w:t>83 [1983])</w:t>
      </w:r>
      <w:r>
        <w:t>, mais jamais dans une opposition aveugle et toujours dans un dialogue informé – comme en témoignent notamment le troisième</w:t>
      </w:r>
      <w:r w:rsidRPr="00D074B5">
        <w:t xml:space="preserve"> texte du recueil</w:t>
      </w:r>
      <w:r>
        <w:t xml:space="preserve">, </w:t>
      </w:r>
      <w:r w:rsidRPr="00D074B5">
        <w:t>paru dans un ouvrage de « </w:t>
      </w:r>
      <w:proofErr w:type="spellStart"/>
      <w:r w:rsidRPr="00D074B5">
        <w:t>socioécologie</w:t>
      </w:r>
      <w:proofErr w:type="spellEnd"/>
      <w:r w:rsidRPr="00D074B5">
        <w:t xml:space="preserve"> comparative » en 1989</w:t>
      </w:r>
      <w:r>
        <w:t xml:space="preserve">, autant que les débats qu’il a pu avoir ailleurs </w:t>
      </w:r>
      <w:r w:rsidRPr="00D074B5">
        <w:t xml:space="preserve">avec </w:t>
      </w:r>
      <w:r>
        <w:t xml:space="preserve">les biologistes et psychologues </w:t>
      </w:r>
      <w:proofErr w:type="spellStart"/>
      <w:r w:rsidRPr="00D074B5">
        <w:t>Mesoudi</w:t>
      </w:r>
      <w:proofErr w:type="spellEnd"/>
      <w:r>
        <w:t xml:space="preserve">, </w:t>
      </w:r>
      <w:proofErr w:type="spellStart"/>
      <w:r>
        <w:t>Whiten</w:t>
      </w:r>
      <w:proofErr w:type="spellEnd"/>
      <w:r>
        <w:t xml:space="preserve"> et </w:t>
      </w:r>
      <w:proofErr w:type="spellStart"/>
      <w:r w:rsidRPr="00D074B5">
        <w:t>Laland</w:t>
      </w:r>
      <w:proofErr w:type="spellEnd"/>
      <w:r w:rsidRPr="00D074B5">
        <w:rPr>
          <w:rStyle w:val="Appelnotedebasdep"/>
          <w:rFonts w:asciiTheme="majorBidi" w:eastAsia="Meiryo" w:hAnsiTheme="majorBidi" w:cstheme="majorBidi"/>
          <w:color w:val="000000" w:themeColor="text1"/>
        </w:rPr>
        <w:footnoteReference w:id="8"/>
      </w:r>
      <w:r>
        <w:t>.</w:t>
      </w:r>
    </w:p>
    <w:p w14:paraId="37FFAADC" w14:textId="77777777" w:rsidR="00722343" w:rsidRPr="00D074B5" w:rsidRDefault="00722343" w:rsidP="00722343">
      <w:pPr>
        <w:jc w:val="both"/>
        <w:rPr>
          <w:rFonts w:asciiTheme="majorBidi" w:eastAsia="Meiryo" w:hAnsiTheme="majorBidi" w:cstheme="majorBidi"/>
          <w:color w:val="000000" w:themeColor="text1"/>
        </w:rPr>
      </w:pPr>
    </w:p>
    <w:p w14:paraId="664A9B67" w14:textId="25805EF6" w:rsidR="00722343" w:rsidRPr="00D074B5" w:rsidRDefault="00722343" w:rsidP="00722343">
      <w:pPr>
        <w:pStyle w:val="Corps"/>
      </w:pPr>
      <w:r w:rsidRPr="002D279C">
        <w:t>La composition chronologique des textes rend compte de</w:t>
      </w:r>
      <w:r>
        <w:t xml:space="preserve"> </w:t>
      </w:r>
      <w:r w:rsidRPr="00D074B5">
        <w:t xml:space="preserve">deux </w:t>
      </w:r>
      <w:r>
        <w:t>déplacements</w:t>
      </w:r>
      <w:r w:rsidRPr="00D074B5">
        <w:t xml:space="preserve"> majeurs</w:t>
      </w:r>
      <w:r>
        <w:t xml:space="preserve"> qu’Ingold a opéré</w:t>
      </w:r>
      <w:r w:rsidR="00880A74">
        <w:t>s</w:t>
      </w:r>
      <w:r>
        <w:t>, au cours du temps :</w:t>
      </w:r>
    </w:p>
    <w:p w14:paraId="5738A452" w14:textId="0B36CF68" w:rsidR="00722343" w:rsidRPr="00D074B5" w:rsidRDefault="00722343" w:rsidP="00722343">
      <w:pPr>
        <w:pStyle w:val="Corps"/>
      </w:pPr>
      <w:r>
        <w:lastRenderedPageBreak/>
        <w:t xml:space="preserve">1/ Le premier tient dans la </w:t>
      </w:r>
      <w:r w:rsidRPr="00D074B5">
        <w:t xml:space="preserve">distinction conceptuelle </w:t>
      </w:r>
      <w:r>
        <w:t>qu’il élabore entre</w:t>
      </w:r>
      <w:r w:rsidRPr="00D074B5">
        <w:t xml:space="preserve"> </w:t>
      </w:r>
      <w:r>
        <w:t>‘</w:t>
      </w:r>
      <w:r w:rsidRPr="00D074B5">
        <w:t>être humain</w:t>
      </w:r>
      <w:r>
        <w:t>’</w:t>
      </w:r>
      <w:r w:rsidRPr="00D074B5">
        <w:t xml:space="preserve"> et </w:t>
      </w:r>
      <w:r>
        <w:t>‘</w:t>
      </w:r>
      <w:r w:rsidRPr="00D074B5">
        <w:t>être un humain</w:t>
      </w:r>
      <w:r>
        <w:t>’</w:t>
      </w:r>
      <w:r w:rsidRPr="00D074B5">
        <w:t>, c’est</w:t>
      </w:r>
      <w:r>
        <w:t>-</w:t>
      </w:r>
      <w:r w:rsidRPr="00D074B5">
        <w:t>à</w:t>
      </w:r>
      <w:r>
        <w:t>-</w:t>
      </w:r>
      <w:r w:rsidRPr="00D074B5">
        <w:t>dire entre l’humanité comme condition et l’humanité comme espèce</w:t>
      </w:r>
      <w:r>
        <w:t xml:space="preserve"> (manifestant </w:t>
      </w:r>
      <w:r w:rsidRPr="00D074B5">
        <w:t xml:space="preserve">l’appartenance au taxon biologique </w:t>
      </w:r>
      <w:r w:rsidRPr="00D074B5">
        <w:rPr>
          <w:i/>
          <w:iCs/>
        </w:rPr>
        <w:t>homo sapiens</w:t>
      </w:r>
      <w:r>
        <w:t>) ;</w:t>
      </w:r>
    </w:p>
    <w:p w14:paraId="3304B8D4" w14:textId="3441AFE9" w:rsidR="00722343" w:rsidRDefault="00722343" w:rsidP="00722343">
      <w:pPr>
        <w:pStyle w:val="Corps"/>
      </w:pPr>
      <w:r>
        <w:t xml:space="preserve">2/ Le second tient en une </w:t>
      </w:r>
      <w:r w:rsidRPr="00D074B5">
        <w:t xml:space="preserve">définition du social qui s’ancre profondément dans la pensée </w:t>
      </w:r>
      <w:r>
        <w:t xml:space="preserve">écologique et </w:t>
      </w:r>
      <w:r w:rsidRPr="00D074B5">
        <w:t>phénoménologique</w:t>
      </w:r>
      <w:r>
        <w:t>, et qui a pour conséquence d’admettre des formes de socialité non</w:t>
      </w:r>
      <w:r w:rsidR="004D58F6">
        <w:t xml:space="preserve"> </w:t>
      </w:r>
      <w:r>
        <w:t>spécifiques – c’est-à-dire non propres à une espèce – et donc, par extension, interspécifiques.</w:t>
      </w:r>
    </w:p>
    <w:p w14:paraId="6AA03588" w14:textId="1EABBA9E" w:rsidR="00722343" w:rsidRPr="004D58F6" w:rsidRDefault="00722343" w:rsidP="004D58F6">
      <w:pPr>
        <w:pStyle w:val="Corps"/>
      </w:pPr>
      <w:r>
        <w:t>Précisons brièvement ces deux phases du cheminement.</w:t>
      </w:r>
    </w:p>
    <w:p w14:paraId="73BD760A" w14:textId="7CFE0DBD" w:rsidR="00722343" w:rsidRPr="004D58F6" w:rsidRDefault="00722343" w:rsidP="004D58F6">
      <w:pPr>
        <w:pStyle w:val="VDIIntertitre"/>
      </w:pPr>
      <w:r w:rsidRPr="00D074B5">
        <w:t xml:space="preserve">Être humain </w:t>
      </w:r>
      <w:r w:rsidRPr="00722343">
        <w:rPr>
          <w:i/>
          <w:iCs/>
        </w:rPr>
        <w:t>versus</w:t>
      </w:r>
      <w:r w:rsidRPr="00D074B5">
        <w:t xml:space="preserve"> être un humain</w:t>
      </w:r>
    </w:p>
    <w:p w14:paraId="46665F8F" w14:textId="77777777" w:rsidR="00722343" w:rsidRPr="00D074B5" w:rsidRDefault="00722343" w:rsidP="00722343">
      <w:pPr>
        <w:pStyle w:val="Corps"/>
      </w:pPr>
      <w:r>
        <w:t>Cette distinction est d</w:t>
      </w:r>
      <w:r w:rsidRPr="00D074B5">
        <w:t>éveloppé</w:t>
      </w:r>
      <w:r>
        <w:t>e</w:t>
      </w:r>
      <w:r w:rsidRPr="00D074B5">
        <w:t xml:space="preserve"> en particulier dans </w:t>
      </w:r>
      <w:r>
        <w:t>le premier des textes du recueil (« Humanité et animalité »), ainsi que de manière allégée dans le troisième (« Les relations sociales et écologiques des êtres humains et des autres animaux ») et le quatrième (« La vie au-delà des limites de la nature ou le mirage de la société »).</w:t>
      </w:r>
    </w:p>
    <w:p w14:paraId="606CC996" w14:textId="48C7C2D5" w:rsidR="00722343" w:rsidRPr="00D074B5" w:rsidRDefault="00722343" w:rsidP="00722343">
      <w:pPr>
        <w:pStyle w:val="Corps"/>
      </w:pPr>
      <w:r w:rsidRPr="00D074B5">
        <w:t xml:space="preserve">La thèse </w:t>
      </w:r>
      <w:r>
        <w:t>est d’une</w:t>
      </w:r>
      <w:r w:rsidRPr="00D074B5">
        <w:t xml:space="preserve"> </w:t>
      </w:r>
      <w:r>
        <w:t xml:space="preserve">apparente </w:t>
      </w:r>
      <w:r w:rsidRPr="00D074B5">
        <w:t>simplicité : si l</w:t>
      </w:r>
      <w:r>
        <w:t>’</w:t>
      </w:r>
      <w:r w:rsidRPr="00D074B5">
        <w:t>humanité se définit par un ensemble de traits, par exemple la faculté de posséder le langage, la culture, le sens moral, la conscience, alors il faut admettre la possibilité pour certains humains et dans certaines circonstances (maladie par ex</w:t>
      </w:r>
      <w:r>
        <w:t>emple</w:t>
      </w:r>
      <w:r w:rsidRPr="00D074B5">
        <w:t>) d’en sortir (</w:t>
      </w:r>
      <w:r>
        <w:t>« </w:t>
      </w:r>
      <w:proofErr w:type="spellStart"/>
      <w:r w:rsidRPr="005330FD">
        <w:rPr>
          <w:i/>
        </w:rPr>
        <w:t>dropping</w:t>
      </w:r>
      <w:proofErr w:type="spellEnd"/>
      <w:r w:rsidRPr="005330FD">
        <w:rPr>
          <w:i/>
        </w:rPr>
        <w:t xml:space="preserve"> ou</w:t>
      </w:r>
      <w:r w:rsidRPr="00D074B5">
        <w:t>t</w:t>
      </w:r>
      <w:r>
        <w:t> »</w:t>
      </w:r>
      <w:r w:rsidRPr="00D074B5">
        <w:t>), et pour certains animaux d’y entrer (</w:t>
      </w:r>
      <w:r>
        <w:t>« </w:t>
      </w:r>
      <w:proofErr w:type="spellStart"/>
      <w:r w:rsidRPr="005330FD">
        <w:rPr>
          <w:i/>
        </w:rPr>
        <w:t>coming</w:t>
      </w:r>
      <w:proofErr w:type="spellEnd"/>
      <w:r w:rsidRPr="005330FD">
        <w:rPr>
          <w:i/>
        </w:rPr>
        <w:t xml:space="preserve"> in</w:t>
      </w:r>
      <w:r>
        <w:t> »</w:t>
      </w:r>
      <w:r w:rsidRPr="00D074B5">
        <w:t>). Cela suppose d’avoir une définition d’une part morale, mais également essentialiste</w:t>
      </w:r>
      <w:r>
        <w:t xml:space="preserve">, </w:t>
      </w:r>
      <w:r w:rsidRPr="00D074B5">
        <w:t xml:space="preserve">donc </w:t>
      </w:r>
      <w:r>
        <w:t xml:space="preserve">en un sens </w:t>
      </w:r>
      <w:r w:rsidRPr="00D074B5">
        <w:t>immuable</w:t>
      </w:r>
      <w:r>
        <w:t>,</w:t>
      </w:r>
      <w:r w:rsidRPr="00D074B5">
        <w:t xml:space="preserve"> de l’espèce : les humains sont essentiellement marqués par la </w:t>
      </w:r>
      <w:r>
        <w:t>faculté de</w:t>
      </w:r>
      <w:r w:rsidRPr="00D074B5">
        <w:t xml:space="preserve"> X ou Y. Or l’espèce, conçue comme construction épistémologique de la biologie et entendue en un sens darwinien, par définition, évolue. Cette définition morale de l’humanité n’est donc pas compatible avec un évolutionnisme bien compris, qui, si l’on pousse la spéculation plus loin comme Ingold ne s’empêche pas de le faire, pourrait nous faire concevoir, dans plusieurs millions d’années des baleines, ou des chimpanzés, qui auraient évolué de sorte à acquérir des facultés de symbolisation, des capacités langagières, une conscience de soi, un sens moral, etc. Après tout, et à condition d’être assez certain de ce que ces catégories recouvrent – ce sur quoi Ingold insiste assez peu – l’hypothèse ne peut être complètement exclue.</w:t>
      </w:r>
    </w:p>
    <w:p w14:paraId="3746493A" w14:textId="3A918DEA" w:rsidR="00722343" w:rsidRPr="004D58F6" w:rsidRDefault="00722343" w:rsidP="004D58F6">
      <w:pPr>
        <w:pStyle w:val="Corps"/>
      </w:pPr>
      <w:r>
        <w:lastRenderedPageBreak/>
        <w:t>À</w:t>
      </w:r>
      <w:r w:rsidRPr="00D074B5">
        <w:t xml:space="preserve"> l’inverse, si nous prenons le point de vue biologique et si par humanité nous embrassons uniquement le taxon biologique </w:t>
      </w:r>
      <w:r w:rsidRPr="00D074B5">
        <w:rPr>
          <w:i/>
          <w:iCs/>
        </w:rPr>
        <w:t>homo sapiens</w:t>
      </w:r>
      <w:r w:rsidRPr="00D074B5">
        <w:t>, recouvrant des individus liés généalogiquement les uns aux autres, et dont les descendants seront à leur tour les représentants, on est confronté à un autre problème de taille : comment délimiter ? Si l’on inclut les descendants, selon la même logique phylogénétique, il faut inclure les ancêtres (et alors</w:t>
      </w:r>
      <w:r w:rsidR="00880A74">
        <w:t>,</w:t>
      </w:r>
      <w:r w:rsidRPr="00D074B5">
        <w:t xml:space="preserve"> jusqu’où remonter ?), ce qui, conclut Ingold, a des conséquences considérables sur notre manière d’appréhender les autres animaux : « car cela brouille immanquablement les distinctions confortables sur lesquelles nous ordonnançons nos vies : entre domestication et esclavage, chasse et meurtre, </w:t>
      </w:r>
      <w:proofErr w:type="spellStart"/>
      <w:r w:rsidRPr="00D074B5">
        <w:t>carnivorisme</w:t>
      </w:r>
      <w:proofErr w:type="spellEnd"/>
      <w:r w:rsidRPr="00D074B5">
        <w:t xml:space="preserve"> et cannibalisme »</w:t>
      </w:r>
      <w:r>
        <w:rPr>
          <w:rStyle w:val="Appelnotedebasdep"/>
          <w:rFonts w:asciiTheme="majorBidi" w:eastAsia="Meiryo" w:hAnsiTheme="majorBidi" w:cstheme="majorBidi"/>
          <w:color w:val="000000" w:themeColor="text1"/>
        </w:rPr>
        <w:footnoteReference w:id="9"/>
      </w:r>
      <w:r w:rsidRPr="00D074B5">
        <w:t xml:space="preserve">. </w:t>
      </w:r>
    </w:p>
    <w:p w14:paraId="1E73FE4E" w14:textId="77777777" w:rsidR="00722343" w:rsidRPr="002D279C" w:rsidRDefault="00722343" w:rsidP="00722343">
      <w:pPr>
        <w:pStyle w:val="Corps"/>
      </w:pPr>
      <w:r w:rsidRPr="00D074B5">
        <w:t>Autrement dit, à rebours d</w:t>
      </w:r>
      <w:r>
        <w:t xml:space="preserve">’une </w:t>
      </w:r>
      <w:r w:rsidRPr="00D074B5">
        <w:t xml:space="preserve">conception classique, rationaliste, qui nous </w:t>
      </w:r>
      <w:r>
        <w:t>enjoint</w:t>
      </w:r>
      <w:r w:rsidRPr="00D074B5">
        <w:t xml:space="preserve"> à penser l’humanité comme une </w:t>
      </w:r>
      <w:r w:rsidRPr="00D074B5">
        <w:rPr>
          <w:i/>
          <w:iCs/>
        </w:rPr>
        <w:t>extraction</w:t>
      </w:r>
      <w:r w:rsidRPr="00D074B5">
        <w:t xml:space="preserve"> depuis un état de nature auquel seraient restées cantonnées les autres espèces animales, Ingold nous invite à voir l’humanité comme une </w:t>
      </w:r>
      <w:r w:rsidRPr="00D074B5">
        <w:rPr>
          <w:i/>
          <w:iCs/>
        </w:rPr>
        <w:t>extension</w:t>
      </w:r>
      <w:r w:rsidRPr="00D074B5">
        <w:t>, applicable dès lors à tous, au-delà des barrières d’espèce – aussi paradoxal que cela puisse paraître</w:t>
      </w:r>
      <w:r>
        <w:rPr>
          <w:rStyle w:val="Appelnotedebasdep"/>
          <w:rFonts w:asciiTheme="majorBidi" w:eastAsia="Meiryo" w:hAnsiTheme="majorBidi" w:cstheme="majorBidi"/>
          <w:color w:val="000000" w:themeColor="text1"/>
        </w:rPr>
        <w:footnoteReference w:id="10"/>
      </w:r>
      <w:r w:rsidRPr="00D074B5">
        <w:t>. Cette ouverture de la condition d’humanité est un premier pas, qui se dessine dès les années 1990 dans la pensée d’Ingold</w:t>
      </w:r>
      <w:r>
        <w:t>. Le deuxième pas, qui en découle directement, propose donc de fonder la distinction conceptuelle sur un détail syntaxique, en différenciant</w:t>
      </w:r>
      <w:r w:rsidRPr="008E59CB">
        <w:t xml:space="preserve"> le substantif de l’attribut</w:t>
      </w:r>
      <w:r>
        <w:t> : « ê</w:t>
      </w:r>
      <w:r w:rsidRPr="008E59CB">
        <w:t>tre un humain</w:t>
      </w:r>
      <w:r>
        <w:t> »</w:t>
      </w:r>
      <w:r w:rsidRPr="008E59CB">
        <w:t xml:space="preserve"> </w:t>
      </w:r>
      <w:r w:rsidRPr="00CD4AC6">
        <w:rPr>
          <w:i/>
          <w:iCs/>
        </w:rPr>
        <w:t>versus</w:t>
      </w:r>
      <w:r w:rsidRPr="008E59CB">
        <w:t xml:space="preserve"> </w:t>
      </w:r>
      <w:r>
        <w:t>« </w:t>
      </w:r>
      <w:r w:rsidRPr="008E59CB">
        <w:t>être humain</w:t>
      </w:r>
      <w:r>
        <w:t> »</w:t>
      </w:r>
      <w:r w:rsidRPr="008E59CB">
        <w:t>. Le premier renvoie à une appartenance d’espèce, le second qualifie une condition – ouverte d’un côté comme de l’autre</w:t>
      </w:r>
      <w:r>
        <w:t xml:space="preserve">, avec </w:t>
      </w:r>
      <w:r w:rsidRPr="008E59CB">
        <w:t xml:space="preserve">possibilité d’en tomber ou d’y rentrer – </w:t>
      </w:r>
      <w:r>
        <w:t>comme nous l’avons vu.</w:t>
      </w:r>
    </w:p>
    <w:p w14:paraId="62EFADB5" w14:textId="29BE7D11" w:rsidR="00722343" w:rsidRPr="008E59CB" w:rsidRDefault="00722343" w:rsidP="00722343">
      <w:pPr>
        <w:pStyle w:val="Corps"/>
      </w:pPr>
      <w:r>
        <w:t>Cela ne résout pas pour autant la question de savoir ce qui identifie cette condition humaine non</w:t>
      </w:r>
      <w:r w:rsidR="004D58F6">
        <w:t xml:space="preserve"> </w:t>
      </w:r>
      <w:r>
        <w:t>limitative. Une pensée écologique empreinte de phénoménologie est convoquée en renfort.</w:t>
      </w:r>
    </w:p>
    <w:p w14:paraId="1FE7DB83" w14:textId="77777777" w:rsidR="00722343" w:rsidRPr="00A2341B" w:rsidRDefault="00722343" w:rsidP="00722343">
      <w:pPr>
        <w:rPr>
          <w:rFonts w:asciiTheme="majorBidi" w:eastAsia="Meiryo" w:hAnsiTheme="majorBidi" w:cstheme="majorBidi"/>
        </w:rPr>
      </w:pPr>
    </w:p>
    <w:p w14:paraId="63765734" w14:textId="37236B6F" w:rsidR="00722343" w:rsidRPr="004D58F6" w:rsidRDefault="00722343" w:rsidP="004D58F6">
      <w:pPr>
        <w:pStyle w:val="VDIIntertitre"/>
      </w:pPr>
      <w:r>
        <w:lastRenderedPageBreak/>
        <w:t>Une a</w:t>
      </w:r>
      <w:r w:rsidRPr="00A2341B">
        <w:t>nthropologie écologique</w:t>
      </w:r>
      <w:r>
        <w:t> :</w:t>
      </w:r>
      <w:r w:rsidRPr="00A2341B">
        <w:t xml:space="preserve"> </w:t>
      </w:r>
      <w:r>
        <w:t>penser la socialité interspécifique</w:t>
      </w:r>
    </w:p>
    <w:p w14:paraId="661681B3" w14:textId="64DD5910" w:rsidR="00722343" w:rsidRPr="004D58F6" w:rsidRDefault="00722343" w:rsidP="004D58F6">
      <w:pPr>
        <w:pStyle w:val="Corps"/>
      </w:pPr>
      <w:r>
        <w:t>P</w:t>
      </w:r>
      <w:r w:rsidRPr="008E59CB">
        <w:t xml:space="preserve">our Ingold, </w:t>
      </w:r>
      <w:r>
        <w:t xml:space="preserve">conscience et socialité sont </w:t>
      </w:r>
      <w:proofErr w:type="spellStart"/>
      <w:r>
        <w:t>co-extensifs</w:t>
      </w:r>
      <w:proofErr w:type="spellEnd"/>
      <w:r>
        <w:t>. U</w:t>
      </w:r>
      <w:r w:rsidRPr="008E59CB">
        <w:t xml:space="preserve">n être social </w:t>
      </w:r>
      <w:r w:rsidRPr="00CD4AC6">
        <w:rPr>
          <w:i/>
          <w:iCs/>
        </w:rPr>
        <w:t>est</w:t>
      </w:r>
      <w:r w:rsidRPr="008E59CB">
        <w:t xml:space="preserve"> doué de conscience, un être conscient </w:t>
      </w:r>
      <w:r w:rsidRPr="00CD4AC6">
        <w:rPr>
          <w:i/>
          <w:iCs/>
        </w:rPr>
        <w:t>est</w:t>
      </w:r>
      <w:r w:rsidRPr="008E59CB">
        <w:t xml:space="preserve"> social. Contre l’anthropologie structurale marxiste</w:t>
      </w:r>
      <w:r>
        <w:t>, p</w:t>
      </w:r>
      <w:r w:rsidRPr="008E59CB">
        <w:t>ar ex</w:t>
      </w:r>
      <w:r>
        <w:t>emple d’un Maurice</w:t>
      </w:r>
      <w:r w:rsidRPr="008E59CB">
        <w:t xml:space="preserve"> </w:t>
      </w:r>
      <w:proofErr w:type="spellStart"/>
      <w:r w:rsidRPr="008E59CB">
        <w:t>Godelier</w:t>
      </w:r>
      <w:proofErr w:type="spellEnd"/>
      <w:r w:rsidRPr="008E59CB">
        <w:t>, il maintient que la conscience n’est pas un « épiphénomène d’une réalité sociale, située à un niveau plus profond et invisible » (</w:t>
      </w:r>
      <w:r>
        <w:t xml:space="preserve">p. </w:t>
      </w:r>
      <w:r w:rsidRPr="008E59CB">
        <w:t xml:space="preserve">81) </w:t>
      </w:r>
      <w:r>
        <w:t>– t</w:t>
      </w:r>
      <w:r w:rsidRPr="008E59CB">
        <w:t>ant et si bien que « lorsque les</w:t>
      </w:r>
      <w:r>
        <w:t xml:space="preserve"> </w:t>
      </w:r>
      <w:r w:rsidRPr="008E59CB">
        <w:t>animaux agissent en sujet</w:t>
      </w:r>
      <w:r w:rsidR="00880A74">
        <w:t>s</w:t>
      </w:r>
      <w:r w:rsidRPr="008E59CB">
        <w:t xml:space="preserve"> conscients, ils sont – selon </w:t>
      </w:r>
      <w:r>
        <w:t>[s</w:t>
      </w:r>
      <w:r w:rsidRPr="008E59CB">
        <w:t>es</w:t>
      </w:r>
      <w:r>
        <w:t>]</w:t>
      </w:r>
      <w:r w:rsidRPr="008E59CB">
        <w:t xml:space="preserve"> termes – nécessairement sociaux » (</w:t>
      </w:r>
      <w:r>
        <w:t xml:space="preserve">p. </w:t>
      </w:r>
      <w:r w:rsidRPr="008E59CB">
        <w:t>83)</w:t>
      </w:r>
      <w:r>
        <w:t xml:space="preserve"> affirme-t-il,</w:t>
      </w:r>
      <w:r w:rsidRPr="008E59CB">
        <w:t xml:space="preserve"> sans pour autant </w:t>
      </w:r>
      <w:r>
        <w:t>préciser</w:t>
      </w:r>
      <w:r w:rsidRPr="008E59CB">
        <w:t xml:space="preserve"> ce qu’au juste « sujet conscient » veut dire</w:t>
      </w:r>
      <w:r>
        <w:t>.</w:t>
      </w:r>
    </w:p>
    <w:p w14:paraId="087AA598" w14:textId="06428122" w:rsidR="00722343" w:rsidRDefault="00722343" w:rsidP="00722343">
      <w:pPr>
        <w:pStyle w:val="Corps"/>
      </w:pPr>
      <w:r>
        <w:t xml:space="preserve">« Le social » est-il ce que les sciences sociales, anthropologie comprise, veulent bien définir comme étant </w:t>
      </w:r>
      <w:r w:rsidRPr="00A03BA9">
        <w:rPr>
          <w:i/>
          <w:iCs/>
        </w:rPr>
        <w:t>leur</w:t>
      </w:r>
      <w:r>
        <w:t xml:space="preserve"> objet, excluant de fait toute autre forme de socialité que celle humaine ? Ou bien encore, est-</w:t>
      </w:r>
      <w:r w:rsidR="004D58F6">
        <w:t>il</w:t>
      </w:r>
      <w:r>
        <w:t xml:space="preserve"> réductible à la vie en groupe, à l’interaction </w:t>
      </w:r>
      <w:proofErr w:type="spellStart"/>
      <w:r>
        <w:t>conspécifique</w:t>
      </w:r>
      <w:proofErr w:type="spellEnd"/>
      <w:r>
        <w:t xml:space="preserve"> (c’est-à-dire entre membres d’une même espèce), comme le veulent les biologistes ?</w:t>
      </w:r>
    </w:p>
    <w:p w14:paraId="642F6B78" w14:textId="77777777" w:rsidR="00722343" w:rsidRDefault="00722343" w:rsidP="00722343">
      <w:pPr>
        <w:pStyle w:val="Corps"/>
      </w:pPr>
      <w:r>
        <w:t xml:space="preserve">Ingold ne peut se satisfaire de répondre positivement à l’une ou l’autre de ces questions. Il cherche une voie intermédiaire, permettant de rendre compte des relations constitutives de chaque organisme biologique, de chaque personne, avec son environnement – étant entendu que ce dernier n’est justement pas à concevoir comme un réservoir inerte servant de décor. </w:t>
      </w:r>
    </w:p>
    <w:p w14:paraId="0A3ABDBA" w14:textId="77777777" w:rsidR="00722343" w:rsidRDefault="00722343" w:rsidP="00722343">
      <w:pPr>
        <w:pStyle w:val="Corps"/>
      </w:pPr>
      <w:r>
        <w:t xml:space="preserve">Aux biologistes, il oppose une conception de la socialité qui ne soit pas limitée aux interactions </w:t>
      </w:r>
      <w:proofErr w:type="spellStart"/>
      <w:r>
        <w:t>conspécifiques</w:t>
      </w:r>
      <w:proofErr w:type="spellEnd"/>
      <w:r>
        <w:t>, et refuse les principes d’un fonctionnalisme étroit qui réduirait l’orientation vers l’autre ou la vie en groupe à un comportement adaptatif.</w:t>
      </w:r>
    </w:p>
    <w:p w14:paraId="0A8D47F7" w14:textId="2CA6AE43" w:rsidR="00722343" w:rsidRDefault="00722343" w:rsidP="00722343">
      <w:pPr>
        <w:pStyle w:val="Corps"/>
      </w:pPr>
      <w:r>
        <w:t xml:space="preserve">Mais les chercheurs en sciences sociales sont redevables de la même critique : eux aussi souffrent d’un tropisme </w:t>
      </w:r>
      <w:proofErr w:type="spellStart"/>
      <w:r>
        <w:t>conspécifique</w:t>
      </w:r>
      <w:proofErr w:type="spellEnd"/>
      <w:r>
        <w:t xml:space="preserve">. À ceux-ci, il oppose donc une définition de la socialité qui ne soit pas limitée aux interactions sociales et culturelles humaines, puisque ce qui nous sert à caractériser ces dernières – intentionnalité, conscience, intersubjectivité, par exemple – se rend également visible dans les relations que les animaux entretiennent à leur monde (leurs </w:t>
      </w:r>
      <w:proofErr w:type="spellStart"/>
      <w:r>
        <w:t>conspécifiques</w:t>
      </w:r>
      <w:proofErr w:type="spellEnd"/>
      <w:r>
        <w:t xml:space="preserve"> certes, mais aussi les autres espèces, ou leurs lieux de vie) : « ce n’est pas parce que les animaux coopèrent avec d’autres membres de leur espèce qu’ils sont des êtres sociaux</w:t>
      </w:r>
      <w:r w:rsidR="00880A74">
        <w:t>,</w:t>
      </w:r>
      <w:r>
        <w:t xml:space="preserve"> mais parce que leurs actes expriment les mêmes qualités d’intentionnalité, de sentiment, de mémoire et de parole que ceux des humains » (p. 150). </w:t>
      </w:r>
    </w:p>
    <w:p w14:paraId="690E7577" w14:textId="77777777" w:rsidR="00722343" w:rsidRDefault="00722343" w:rsidP="00722343">
      <w:pPr>
        <w:jc w:val="both"/>
        <w:rPr>
          <w:rFonts w:asciiTheme="majorBidi" w:eastAsia="Meiryo" w:hAnsiTheme="majorBidi" w:cstheme="majorBidi"/>
        </w:rPr>
      </w:pPr>
    </w:p>
    <w:p w14:paraId="7C229812" w14:textId="1AAEAF8E" w:rsidR="00722343" w:rsidRPr="004D58F6" w:rsidRDefault="00722343" w:rsidP="004D58F6">
      <w:pPr>
        <w:pStyle w:val="Corps"/>
      </w:pPr>
      <w:r>
        <w:t xml:space="preserve">En somme, le déplacement que propose Ingold tient à renoncer à une équation qui ferait équivaloir relations sociales avec relations </w:t>
      </w:r>
      <w:proofErr w:type="spellStart"/>
      <w:r>
        <w:t>conspécifiques</w:t>
      </w:r>
      <w:proofErr w:type="spellEnd"/>
      <w:r>
        <w:t xml:space="preserve"> (soit strictement humaines donc culturelles, soit strictement animales donc grégaires)</w:t>
      </w:r>
      <w:r>
        <w:rPr>
          <w:rStyle w:val="Appelnotedebasdep"/>
          <w:rFonts w:asciiTheme="majorBidi" w:eastAsia="Meiryo" w:hAnsiTheme="majorBidi" w:cstheme="majorBidi"/>
        </w:rPr>
        <w:footnoteReference w:id="11"/>
      </w:r>
      <w:r>
        <w:t>, et proposer à la place de « </w:t>
      </w:r>
      <w:proofErr w:type="spellStart"/>
      <w:r>
        <w:t>réancrer</w:t>
      </w:r>
      <w:proofErr w:type="spellEnd"/>
      <w:r>
        <w:t xml:space="preserve"> ses relations dans le continuum de la vie organique » (p. 162). En définissant la socialité autrement, on accède à de nouvelles conditions pour penser la socialité </w:t>
      </w:r>
      <w:r w:rsidRPr="00980630">
        <w:rPr>
          <w:i/>
          <w:iCs/>
        </w:rPr>
        <w:t>inter</w:t>
      </w:r>
      <w:r>
        <w:rPr>
          <w:i/>
          <w:iCs/>
        </w:rPr>
        <w:t>-espèces</w:t>
      </w:r>
      <w:r>
        <w:t xml:space="preserve">. Le lien entre les organismes et leurs environnements </w:t>
      </w:r>
      <w:r w:rsidRPr="008E59CB">
        <w:t>est conçu comme un lien sensible, vécu, sur une modalité phénoménologique</w:t>
      </w:r>
      <w:r>
        <w:t xml:space="preserve"> – comme en témoigne l’empreinte du vocabulaire de la perception.</w:t>
      </w:r>
    </w:p>
    <w:p w14:paraId="5630EC2A" w14:textId="77777777" w:rsidR="00722343" w:rsidRDefault="00722343" w:rsidP="00722343">
      <w:pPr>
        <w:pStyle w:val="Corps"/>
      </w:pPr>
      <w:r w:rsidRPr="008E59CB">
        <w:t>C’est toujours un plaisir d’être mis au contact</w:t>
      </w:r>
      <w:r>
        <w:t xml:space="preserve"> de l’humour et de la</w:t>
      </w:r>
      <w:r w:rsidRPr="008E59CB">
        <w:t xml:space="preserve"> pensée foisonnante</w:t>
      </w:r>
      <w:r>
        <w:t xml:space="preserve"> d’Ingold (</w:t>
      </w:r>
      <w:r w:rsidRPr="008E59CB">
        <w:t xml:space="preserve">même si elle </w:t>
      </w:r>
      <w:r>
        <w:t>nous</w:t>
      </w:r>
      <w:r w:rsidRPr="008E59CB">
        <w:t xml:space="preserve"> égare un peu</w:t>
      </w:r>
      <w:r>
        <w:t xml:space="preserve"> parfois), et la traduction les restitue avec justesse. Il</w:t>
      </w:r>
      <w:r w:rsidRPr="008E59CB">
        <w:t xml:space="preserve"> est </w:t>
      </w:r>
      <w:r>
        <w:t>simplement dommage</w:t>
      </w:r>
      <w:r w:rsidRPr="008E59CB">
        <w:t xml:space="preserve"> que </w:t>
      </w:r>
      <w:r>
        <w:t>cela</w:t>
      </w:r>
      <w:r w:rsidRPr="008E59CB">
        <w:t xml:space="preserve"> </w:t>
      </w:r>
      <w:r>
        <w:t>s’accompagne de choix</w:t>
      </w:r>
      <w:r w:rsidRPr="008E59CB">
        <w:t xml:space="preserve"> éditoria</w:t>
      </w:r>
      <w:r>
        <w:t>ux</w:t>
      </w:r>
      <w:r w:rsidRPr="008E59CB">
        <w:t xml:space="preserve"> rudimentaires</w:t>
      </w:r>
      <w:r>
        <w:t>.</w:t>
      </w:r>
    </w:p>
    <w:p w14:paraId="095FA1CD" w14:textId="398D6223" w:rsidR="00171413" w:rsidRPr="00CE701F" w:rsidRDefault="00722343" w:rsidP="00202220">
      <w:pPr>
        <w:pStyle w:val="Corps"/>
      </w:pPr>
      <w:r>
        <w:t>La lecture de ce recueil intéressera tous les anthropologues francophones et au-delà, tous ceux qui s’intéressent à penser l’humain dans un monde dans lequel il peine à trouver sa juste place. Ingold nous invite, paradoxalement, à nous « </w:t>
      </w:r>
      <w:proofErr w:type="spellStart"/>
      <w:r w:rsidRPr="008E59CB">
        <w:t>anthropocentrer</w:t>
      </w:r>
      <w:proofErr w:type="spellEnd"/>
      <w:r>
        <w:t> » :</w:t>
      </w:r>
      <w:r w:rsidRPr="008E59CB">
        <w:t> « </w:t>
      </w:r>
      <w:r>
        <w:t>p</w:t>
      </w:r>
      <w:r w:rsidRPr="008E59CB">
        <w:t>rendre cette position comme point de départ ne signifie pas partir de l’humanité comme condition universelle transcendant la nature, mais des humains en tant qu’être vivants ayant pour tâche de dessiner une existence pour eux et pour les autres dans la matrice d’une terre partagée » (</w:t>
      </w:r>
      <w:r>
        <w:t xml:space="preserve">p. </w:t>
      </w:r>
      <w:r w:rsidRPr="008E59CB">
        <w:t>25)</w:t>
      </w:r>
      <w:r>
        <w:t>.</w:t>
      </w:r>
      <w:r w:rsidR="00171413">
        <w:t xml:space="preserve"> </w:t>
      </w:r>
    </w:p>
    <w:p w14:paraId="4FDF0512" w14:textId="24D979BB" w:rsidR="0063372A" w:rsidRDefault="0063372A" w:rsidP="0063372A">
      <w:pPr>
        <w:pStyle w:val="VDIdate"/>
      </w:pPr>
      <w:r>
        <w:t>Publié dans lavi</w:t>
      </w:r>
      <w:r w:rsidR="006E7A74">
        <w:t>e</w:t>
      </w:r>
      <w:r>
        <w:t>desidees.fr, le</w:t>
      </w:r>
      <w:r w:rsidR="008F3232">
        <w:t xml:space="preserve"> </w:t>
      </w:r>
      <w:r w:rsidR="00202220">
        <w:t xml:space="preserve">13 </w:t>
      </w:r>
      <w:r w:rsidR="003B6F96">
        <w:t>décembre</w:t>
      </w:r>
      <w:r w:rsidR="00C70344">
        <w:t xml:space="preserve"> 202</w:t>
      </w:r>
      <w:r w:rsidR="00171413">
        <w:t>1</w:t>
      </w:r>
      <w:r>
        <w:t>.</w:t>
      </w:r>
    </w:p>
    <w:sectPr w:rsidR="0063372A" w:rsidSect="00472187">
      <w:footerReference w:type="default" r:id="rId9"/>
      <w:headerReference w:type="first" r:id="rId10"/>
      <w:pgSz w:w="11900" w:h="16840"/>
      <w:pgMar w:top="1418" w:right="1418" w:bottom="1418" w:left="1418" w:header="709" w:footer="709"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104E">
      <wne:acd wne:acdName="acd0"/>
    </wne:keymap>
  </wne:keymaps>
  <wne:toolbars>
    <wne:acdManifest>
      <wne:acdEntry wne:acdName="acd0"/>
    </wne:acdManifest>
  </wne:toolbars>
  <wne:acds>
    <wne:acd wne:argValue="AgBDAG8AcgBwAH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F55E3" w14:textId="77777777" w:rsidR="00B80D50" w:rsidRDefault="00B80D50">
      <w:r>
        <w:separator/>
      </w:r>
    </w:p>
  </w:endnote>
  <w:endnote w:type="continuationSeparator" w:id="0">
    <w:p w14:paraId="04B130B5" w14:textId="77777777" w:rsidR="00B80D50" w:rsidRDefault="00B80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dobe Caslon Pro">
    <w:altName w:val="Palatino Linotype"/>
    <w:panose1 w:val="020B0604020202020204"/>
    <w:charset w:val="4D"/>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w:altName w:val="Calibri"/>
    <w:panose1 w:val="020B0604020202020204"/>
    <w:charset w:val="00"/>
    <w:family w:val="swiss"/>
    <w:notTrueType/>
    <w:pitch w:val="variable"/>
    <w:sig w:usb0="20000287" w:usb1="00000001" w:usb2="00000000" w:usb3="00000000" w:csb0="0000019F" w:csb1="00000000"/>
  </w:font>
  <w:font w:name="Adobe Caslon Pro Bold">
    <w:altName w:val="Palatino Linotype"/>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eiryo">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1BD5" w14:textId="77777777" w:rsidR="00681218" w:rsidRDefault="00792FBC">
    <w:pPr>
      <w:pStyle w:val="Pieddepage"/>
      <w:tabs>
        <w:tab w:val="clear" w:pos="9072"/>
        <w:tab w:val="right" w:pos="9044"/>
      </w:tabs>
      <w:jc w:val="right"/>
    </w:pPr>
    <w:r>
      <w:fldChar w:fldCharType="begin"/>
    </w:r>
    <w:r>
      <w:instrText xml:space="preserve"> PAGE </w:instrText>
    </w:r>
    <w:r>
      <w:fldChar w:fldCharType="separate"/>
    </w:r>
    <w:r w:rsidR="004721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FC76B" w14:textId="77777777" w:rsidR="00B80D50" w:rsidRDefault="00B80D50">
      <w:r>
        <w:separator/>
      </w:r>
    </w:p>
  </w:footnote>
  <w:footnote w:type="continuationSeparator" w:id="0">
    <w:p w14:paraId="5CCA2E84" w14:textId="77777777" w:rsidR="00B80D50" w:rsidRDefault="00B80D50">
      <w:r>
        <w:continuationSeparator/>
      </w:r>
    </w:p>
  </w:footnote>
  <w:footnote w:id="1">
    <w:p w14:paraId="288CBDB8" w14:textId="77777777" w:rsidR="00722343" w:rsidRPr="00A03BA9" w:rsidRDefault="00722343" w:rsidP="00202220">
      <w:pPr>
        <w:pStyle w:val="Notedebasdepage"/>
        <w:rPr>
          <w:lang w:val="en-US"/>
        </w:rPr>
      </w:pPr>
      <w:r w:rsidRPr="0079449F">
        <w:rPr>
          <w:rStyle w:val="Appelnotedebasdep"/>
          <w:rFonts w:asciiTheme="majorBidi" w:hAnsiTheme="majorBidi" w:cstheme="majorBidi"/>
        </w:rPr>
        <w:footnoteRef/>
      </w:r>
      <w:r w:rsidRPr="0079449F">
        <w:t xml:space="preserve"> Ce titre est lui-même une référence à l’un des premiers </w:t>
      </w:r>
      <w:r w:rsidRPr="00202220">
        <w:t>ouvrages</w:t>
      </w:r>
      <w:r w:rsidRPr="0079449F">
        <w:t xml:space="preserve"> de Frans de Waal </w:t>
      </w:r>
      <w:proofErr w:type="spellStart"/>
      <w:r w:rsidRPr="0079449F">
        <w:rPr>
          <w:i/>
          <w:iCs/>
        </w:rPr>
        <w:t>Chimpanzee</w:t>
      </w:r>
      <w:proofErr w:type="spellEnd"/>
      <w:r w:rsidRPr="0079449F">
        <w:rPr>
          <w:i/>
          <w:iCs/>
        </w:rPr>
        <w:t xml:space="preserve"> </w:t>
      </w:r>
      <w:proofErr w:type="spellStart"/>
      <w:r w:rsidRPr="0079449F">
        <w:rPr>
          <w:i/>
          <w:iCs/>
        </w:rPr>
        <w:t>Politics</w:t>
      </w:r>
      <w:proofErr w:type="spellEnd"/>
      <w:r w:rsidRPr="0079449F">
        <w:t xml:space="preserve"> </w:t>
      </w:r>
      <w:r w:rsidRPr="0079449F">
        <w:rPr>
          <w:i/>
          <w:iCs/>
        </w:rPr>
        <w:t xml:space="preserve">Power and </w:t>
      </w:r>
      <w:proofErr w:type="spellStart"/>
      <w:r w:rsidRPr="0079449F">
        <w:rPr>
          <w:i/>
          <w:iCs/>
        </w:rPr>
        <w:t>Sex</w:t>
      </w:r>
      <w:proofErr w:type="spellEnd"/>
      <w:r w:rsidRPr="0079449F">
        <w:rPr>
          <w:i/>
          <w:iCs/>
        </w:rPr>
        <w:t xml:space="preserve"> </w:t>
      </w:r>
      <w:proofErr w:type="spellStart"/>
      <w:r w:rsidRPr="0079449F">
        <w:rPr>
          <w:i/>
          <w:iCs/>
        </w:rPr>
        <w:t>among</w:t>
      </w:r>
      <w:proofErr w:type="spellEnd"/>
      <w:r w:rsidRPr="0079449F">
        <w:rPr>
          <w:i/>
          <w:iCs/>
        </w:rPr>
        <w:t xml:space="preserve"> Apes.</w:t>
      </w:r>
      <w:r w:rsidRPr="0079449F">
        <w:t> </w:t>
      </w:r>
      <w:proofErr w:type="gramStart"/>
      <w:r w:rsidRPr="00A03BA9">
        <w:rPr>
          <w:lang w:val="en-US"/>
        </w:rPr>
        <w:t>London :</w:t>
      </w:r>
      <w:proofErr w:type="gramEnd"/>
      <w:r w:rsidRPr="00A03BA9">
        <w:rPr>
          <w:lang w:val="en-US"/>
        </w:rPr>
        <w:t xml:space="preserve"> Jonathan Cape, 1982, </w:t>
      </w:r>
      <w:proofErr w:type="spellStart"/>
      <w:r w:rsidRPr="00A03BA9">
        <w:rPr>
          <w:lang w:val="en-US"/>
        </w:rPr>
        <w:t>réédité</w:t>
      </w:r>
      <w:proofErr w:type="spellEnd"/>
      <w:r w:rsidRPr="00A03BA9">
        <w:rPr>
          <w:lang w:val="en-US"/>
        </w:rPr>
        <w:t xml:space="preserve"> de </w:t>
      </w:r>
      <w:proofErr w:type="spellStart"/>
      <w:r w:rsidRPr="00A03BA9">
        <w:rPr>
          <w:lang w:val="en-US"/>
        </w:rPr>
        <w:t>nombreuses</w:t>
      </w:r>
      <w:proofErr w:type="spellEnd"/>
      <w:r w:rsidRPr="00A03BA9">
        <w:rPr>
          <w:lang w:val="en-US"/>
        </w:rPr>
        <w:t xml:space="preserve"> </w:t>
      </w:r>
      <w:proofErr w:type="spellStart"/>
      <w:r w:rsidRPr="00A03BA9">
        <w:rPr>
          <w:lang w:val="en-US"/>
        </w:rPr>
        <w:t>fois</w:t>
      </w:r>
      <w:proofErr w:type="spellEnd"/>
      <w:r w:rsidRPr="00A03BA9">
        <w:rPr>
          <w:lang w:val="en-US"/>
        </w:rPr>
        <w:t xml:space="preserve"> </w:t>
      </w:r>
      <w:proofErr w:type="spellStart"/>
      <w:r w:rsidRPr="00A03BA9">
        <w:rPr>
          <w:lang w:val="en-US"/>
        </w:rPr>
        <w:t>depuis</w:t>
      </w:r>
      <w:proofErr w:type="spellEnd"/>
      <w:r w:rsidRPr="00A03BA9">
        <w:rPr>
          <w:lang w:val="en-US"/>
        </w:rPr>
        <w:t>.</w:t>
      </w:r>
    </w:p>
  </w:footnote>
  <w:footnote w:id="2">
    <w:p w14:paraId="3A5708F2" w14:textId="77777777" w:rsidR="00722343" w:rsidRPr="0079449F" w:rsidRDefault="00722343" w:rsidP="00202220">
      <w:pPr>
        <w:pStyle w:val="Notedebasdepage"/>
        <w:rPr>
          <w:lang w:val="en-US"/>
        </w:rPr>
      </w:pPr>
      <w:r w:rsidRPr="0079449F">
        <w:rPr>
          <w:rStyle w:val="Appelnotedebasdep"/>
          <w:rFonts w:asciiTheme="majorBidi" w:hAnsiTheme="majorBidi" w:cstheme="majorBidi"/>
        </w:rPr>
        <w:footnoteRef/>
      </w:r>
      <w:r w:rsidRPr="0079449F">
        <w:rPr>
          <w:lang w:val="en-US"/>
        </w:rPr>
        <w:t xml:space="preserve"> </w:t>
      </w:r>
      <w:proofErr w:type="spellStart"/>
      <w:r w:rsidRPr="0079449F">
        <w:rPr>
          <w:lang w:val="en-US"/>
        </w:rPr>
        <w:t>Voir</w:t>
      </w:r>
      <w:proofErr w:type="spellEnd"/>
      <w:r w:rsidRPr="0079449F">
        <w:rPr>
          <w:lang w:val="en-US"/>
        </w:rPr>
        <w:t xml:space="preserve"> </w:t>
      </w:r>
      <w:proofErr w:type="spellStart"/>
      <w:r w:rsidRPr="0079449F">
        <w:rPr>
          <w:lang w:val="en-US"/>
        </w:rPr>
        <w:t>notamment</w:t>
      </w:r>
      <w:proofErr w:type="spellEnd"/>
      <w:r w:rsidRPr="0079449F">
        <w:rPr>
          <w:lang w:val="en-US"/>
        </w:rPr>
        <w:t xml:space="preserve"> Strum, Shirley et Bruno Latour, « Redefining the social link: from baboons to humans », </w:t>
      </w:r>
      <w:r w:rsidRPr="0079449F">
        <w:rPr>
          <w:i/>
          <w:iCs/>
          <w:lang w:val="en-US"/>
        </w:rPr>
        <w:t>Social Science Information</w:t>
      </w:r>
      <w:r w:rsidRPr="0079449F">
        <w:rPr>
          <w:lang w:val="en-US"/>
        </w:rPr>
        <w:t>, 26, 1987, p. 783-</w:t>
      </w:r>
      <w:proofErr w:type="gramStart"/>
      <w:r w:rsidRPr="0079449F">
        <w:rPr>
          <w:lang w:val="en-US"/>
        </w:rPr>
        <w:t>802 ;</w:t>
      </w:r>
      <w:proofErr w:type="gramEnd"/>
      <w:r w:rsidRPr="0079449F">
        <w:rPr>
          <w:lang w:val="en-US"/>
        </w:rPr>
        <w:t xml:space="preserve"> et </w:t>
      </w:r>
      <w:proofErr w:type="spellStart"/>
      <w:r w:rsidRPr="0079449F">
        <w:rPr>
          <w:lang w:val="en-US"/>
        </w:rPr>
        <w:t>antérieurement</w:t>
      </w:r>
      <w:proofErr w:type="spellEnd"/>
      <w:r w:rsidRPr="0079449F">
        <w:rPr>
          <w:lang w:val="en-US"/>
        </w:rPr>
        <w:t xml:space="preserve">, </w:t>
      </w:r>
      <w:proofErr w:type="spellStart"/>
      <w:r w:rsidRPr="0079449F">
        <w:rPr>
          <w:lang w:val="en-US"/>
        </w:rPr>
        <w:t>Callon</w:t>
      </w:r>
      <w:proofErr w:type="spellEnd"/>
      <w:r w:rsidRPr="0079449F">
        <w:rPr>
          <w:lang w:val="en-US"/>
        </w:rPr>
        <w:t xml:space="preserve">, Michel, et Bruno Latour, “Unscrewing the Big Leviathan; or How Actors Macrostructure Reality, and How Sociologists Help Them To Do So?”, in K. Knorr et A. </w:t>
      </w:r>
      <w:proofErr w:type="spellStart"/>
      <w:r w:rsidRPr="0079449F">
        <w:rPr>
          <w:lang w:val="en-US"/>
        </w:rPr>
        <w:t>Cicourel</w:t>
      </w:r>
      <w:proofErr w:type="spellEnd"/>
      <w:r w:rsidRPr="0079449F">
        <w:rPr>
          <w:lang w:val="en-US"/>
        </w:rPr>
        <w:t xml:space="preserve"> (eds), </w:t>
      </w:r>
      <w:r w:rsidRPr="0079449F">
        <w:rPr>
          <w:i/>
          <w:iCs/>
          <w:lang w:val="en-US"/>
        </w:rPr>
        <w:t>Advances in Social Theory and Methodology,</w:t>
      </w:r>
      <w:r w:rsidRPr="0079449F">
        <w:rPr>
          <w:b/>
          <w:bCs/>
          <w:lang w:val="en-US"/>
        </w:rPr>
        <w:t xml:space="preserve"> </w:t>
      </w:r>
      <w:r w:rsidRPr="0079449F">
        <w:rPr>
          <w:lang w:val="en-US"/>
        </w:rPr>
        <w:t xml:space="preserve">Routledge and Kegan Paul, </w:t>
      </w:r>
      <w:proofErr w:type="spellStart"/>
      <w:r w:rsidRPr="0079449F">
        <w:rPr>
          <w:lang w:val="en-US"/>
        </w:rPr>
        <w:t>Londres</w:t>
      </w:r>
      <w:proofErr w:type="spellEnd"/>
      <w:r w:rsidRPr="0079449F">
        <w:rPr>
          <w:lang w:val="en-US"/>
        </w:rPr>
        <w:t>, 1981</w:t>
      </w:r>
      <w:r>
        <w:rPr>
          <w:lang w:val="en-US"/>
        </w:rPr>
        <w:t>.</w:t>
      </w:r>
    </w:p>
  </w:footnote>
  <w:footnote w:id="3">
    <w:p w14:paraId="37FF023B" w14:textId="77777777" w:rsidR="00722343" w:rsidRPr="0079449F" w:rsidRDefault="00722343" w:rsidP="00202220">
      <w:pPr>
        <w:pStyle w:val="Notedebasdepage"/>
      </w:pPr>
      <w:r w:rsidRPr="0079449F">
        <w:rPr>
          <w:rStyle w:val="Appelnotedebasdep"/>
          <w:rFonts w:asciiTheme="majorBidi" w:hAnsiTheme="majorBidi" w:cstheme="majorBidi"/>
        </w:rPr>
        <w:footnoteRef/>
      </w:r>
      <w:r w:rsidRPr="0079449F">
        <w:t xml:space="preserve"> Le titre et le sous-titre de l’ouvrage sont </w:t>
      </w:r>
      <w:r>
        <w:t>bien</w:t>
      </w:r>
      <w:r w:rsidRPr="0079449F">
        <w:t xml:space="preserve"> la reprise de titres de sous-sections du dernier des textes, paru en 2013</w:t>
      </w:r>
      <w:r>
        <w:t xml:space="preserve">, qui </w:t>
      </w:r>
      <w:r w:rsidRPr="0079449F">
        <w:t xml:space="preserve">discute de manière très critique </w:t>
      </w:r>
      <w:r>
        <w:t>les</w:t>
      </w:r>
      <w:r w:rsidRPr="0079449F">
        <w:t xml:space="preserve"> travaux de </w:t>
      </w:r>
      <w:proofErr w:type="spellStart"/>
      <w:r w:rsidRPr="0079449F">
        <w:t>Whiten</w:t>
      </w:r>
      <w:proofErr w:type="spellEnd"/>
      <w:r w:rsidRPr="0079449F">
        <w:t xml:space="preserve"> et Byrne et de </w:t>
      </w:r>
      <w:proofErr w:type="spellStart"/>
      <w:r w:rsidRPr="0079449F">
        <w:t>Latour</w:t>
      </w:r>
      <w:proofErr w:type="spellEnd"/>
      <w:r w:rsidRPr="0079449F">
        <w:t xml:space="preserve"> et </w:t>
      </w:r>
      <w:proofErr w:type="spellStart"/>
      <w:r w:rsidRPr="0079449F">
        <w:t>Strum</w:t>
      </w:r>
      <w:proofErr w:type="spellEnd"/>
      <w:r w:rsidRPr="0079449F">
        <w:t>.</w:t>
      </w:r>
    </w:p>
  </w:footnote>
  <w:footnote w:id="4">
    <w:p w14:paraId="4D0574DD" w14:textId="461FCD0E" w:rsidR="00722343" w:rsidRPr="0079449F" w:rsidRDefault="00722343" w:rsidP="00202220">
      <w:pPr>
        <w:pStyle w:val="Notedebasdepage"/>
      </w:pPr>
      <w:r w:rsidRPr="0079449F">
        <w:rPr>
          <w:rStyle w:val="Appelnotedebasdep"/>
          <w:rFonts w:asciiTheme="majorBidi" w:hAnsiTheme="majorBidi" w:cstheme="majorBidi"/>
        </w:rPr>
        <w:footnoteRef/>
      </w:r>
      <w:r w:rsidRPr="0079449F">
        <w:rPr>
          <w:rFonts w:cstheme="majorBidi"/>
          <w:lang w:val="en-US"/>
        </w:rPr>
        <w:t xml:space="preserve"> </w:t>
      </w:r>
      <w:r>
        <w:rPr>
          <w:rFonts w:cstheme="majorBidi"/>
          <w:lang w:val="en-US"/>
        </w:rPr>
        <w:t xml:space="preserve">Ingold Tim, </w:t>
      </w:r>
      <w:r w:rsidRPr="0079449F">
        <w:rPr>
          <w:i/>
          <w:iCs/>
          <w:lang w:val="en-US"/>
        </w:rPr>
        <w:t>Hunters, Pastoralists and Ranchers</w:t>
      </w:r>
      <w:r>
        <w:rPr>
          <w:lang w:val="en-US"/>
        </w:rPr>
        <w:t>,</w:t>
      </w:r>
      <w:r w:rsidRPr="0079449F">
        <w:rPr>
          <w:lang w:val="en-US"/>
        </w:rPr>
        <w:t xml:space="preserve"> Cambridge University Press, 1980</w:t>
      </w:r>
      <w:r>
        <w:rPr>
          <w:rFonts w:cstheme="majorBidi"/>
          <w:lang w:val="en-US"/>
        </w:rPr>
        <w:t xml:space="preserve">. </w:t>
      </w:r>
      <w:r w:rsidRPr="0079449F">
        <w:rPr>
          <w:rFonts w:cstheme="majorBidi"/>
        </w:rPr>
        <w:t>Pour le travail d’édition collective, voir Ingold Tim (</w:t>
      </w:r>
      <w:proofErr w:type="spellStart"/>
      <w:r w:rsidRPr="0079449F">
        <w:rPr>
          <w:rFonts w:cstheme="majorBidi"/>
        </w:rPr>
        <w:t>ed</w:t>
      </w:r>
      <w:proofErr w:type="spellEnd"/>
      <w:r w:rsidRPr="0079449F">
        <w:rPr>
          <w:rFonts w:cstheme="majorBidi"/>
        </w:rPr>
        <w:t xml:space="preserve">.), </w:t>
      </w:r>
      <w:proofErr w:type="spellStart"/>
      <w:r w:rsidRPr="004D58F6">
        <w:rPr>
          <w:i/>
          <w:iCs/>
        </w:rPr>
        <w:t>What</w:t>
      </w:r>
      <w:proofErr w:type="spellEnd"/>
      <w:r w:rsidRPr="004D58F6">
        <w:rPr>
          <w:i/>
          <w:iCs/>
        </w:rPr>
        <w:t xml:space="preserve"> </w:t>
      </w:r>
      <w:proofErr w:type="spellStart"/>
      <w:r w:rsidRPr="004D58F6">
        <w:rPr>
          <w:i/>
          <w:iCs/>
        </w:rPr>
        <w:t>is</w:t>
      </w:r>
      <w:proofErr w:type="spellEnd"/>
      <w:r w:rsidRPr="004D58F6">
        <w:rPr>
          <w:i/>
          <w:iCs/>
        </w:rPr>
        <w:t xml:space="preserve"> an Animal</w:t>
      </w:r>
      <w:r w:rsidRPr="004D58F6">
        <w:t xml:space="preserve">, London, </w:t>
      </w:r>
      <w:proofErr w:type="spellStart"/>
      <w:r w:rsidRPr="004D58F6">
        <w:t>Unwin</w:t>
      </w:r>
      <w:proofErr w:type="spellEnd"/>
      <w:r w:rsidRPr="004D58F6">
        <w:t xml:space="preserve"> </w:t>
      </w:r>
      <w:proofErr w:type="spellStart"/>
      <w:r w:rsidRPr="004D58F6">
        <w:t>Hyman</w:t>
      </w:r>
      <w:proofErr w:type="spellEnd"/>
      <w:r w:rsidRPr="004D58F6">
        <w:t>, 1988.</w:t>
      </w:r>
    </w:p>
  </w:footnote>
  <w:footnote w:id="5">
    <w:p w14:paraId="65611D8C" w14:textId="77777777" w:rsidR="00722343" w:rsidRPr="0079449F" w:rsidRDefault="00722343" w:rsidP="00202220">
      <w:pPr>
        <w:pStyle w:val="Notedebasdepage"/>
      </w:pPr>
      <w:r w:rsidRPr="0079449F">
        <w:rPr>
          <w:rStyle w:val="Appelnotedebasdep"/>
          <w:rFonts w:asciiTheme="majorBidi" w:hAnsiTheme="majorBidi" w:cstheme="majorBidi"/>
        </w:rPr>
        <w:footnoteRef/>
      </w:r>
      <w:r w:rsidRPr="0079449F">
        <w:t xml:space="preserve"> Pour y remédier, on conseillera par exemple la présentation offerte par Pierre Charbonnier, dans : Tim Ingold, «</w:t>
      </w:r>
      <w:r>
        <w:t> </w:t>
      </w:r>
      <w:r w:rsidRPr="0079449F">
        <w:t xml:space="preserve">Culture, nature et environnement », </w:t>
      </w:r>
      <w:r w:rsidRPr="0079449F">
        <w:rPr>
          <w:i/>
          <w:iCs/>
        </w:rPr>
        <w:t>Tracés</w:t>
      </w:r>
      <w:r w:rsidRPr="0079449F">
        <w:t>, « </w:t>
      </w:r>
      <w:r w:rsidRPr="00202220">
        <w:t>Écologiques</w:t>
      </w:r>
      <w:r w:rsidRPr="0079449F">
        <w:t>. Enquêtes sur les milieux humains », 22 (2012), p. 169-170.</w:t>
      </w:r>
    </w:p>
  </w:footnote>
  <w:footnote w:id="6">
    <w:p w14:paraId="59B766D7" w14:textId="77777777" w:rsidR="00722343" w:rsidRPr="006F14F0" w:rsidRDefault="00722343" w:rsidP="00202220">
      <w:pPr>
        <w:pStyle w:val="Notedebasdepage"/>
      </w:pPr>
      <w:r w:rsidRPr="0079449F">
        <w:rPr>
          <w:rStyle w:val="Appelnotedebasdep"/>
          <w:rFonts w:asciiTheme="majorBidi" w:hAnsiTheme="majorBidi" w:cstheme="majorBidi"/>
        </w:rPr>
        <w:footnoteRef/>
      </w:r>
      <w:r w:rsidRPr="0079449F">
        <w:t xml:space="preserve"> Notons que la traduction fait ici le choix d’une stricte homonymie avec l’ouvrage de </w:t>
      </w:r>
      <w:proofErr w:type="spellStart"/>
      <w:r w:rsidRPr="0079449F">
        <w:t>Kohn</w:t>
      </w:r>
      <w:proofErr w:type="spellEnd"/>
      <w:r w:rsidRPr="0079449F">
        <w:t xml:space="preserve"> alors que le titre en anglais (que l’éditeur n’a pas jugé bon de fournir au lecteur) de l’article d’Ingold, de 2013 également, dont cette citation est issue est en réalité « </w:t>
      </w:r>
      <w:proofErr w:type="spellStart"/>
      <w:r w:rsidRPr="0079449F">
        <w:t>Anthropology</w:t>
      </w:r>
      <w:proofErr w:type="spellEnd"/>
      <w:r w:rsidRPr="0079449F">
        <w:t xml:space="preserve"> </w:t>
      </w:r>
      <w:proofErr w:type="spellStart"/>
      <w:r w:rsidRPr="0079449F">
        <w:t>beyond</w:t>
      </w:r>
      <w:proofErr w:type="spellEnd"/>
      <w:r w:rsidRPr="0079449F">
        <w:t xml:space="preserve"> </w:t>
      </w:r>
      <w:proofErr w:type="spellStart"/>
      <w:r w:rsidRPr="0079449F">
        <w:t>Humanity</w:t>
      </w:r>
      <w:proofErr w:type="spellEnd"/>
      <w:r w:rsidRPr="0079449F">
        <w:t xml:space="preserve"> » (et non pas « Beyond the </w:t>
      </w:r>
      <w:proofErr w:type="spellStart"/>
      <w:r w:rsidRPr="0079449F">
        <w:t>Human</w:t>
      </w:r>
      <w:proofErr w:type="spellEnd"/>
      <w:r w:rsidRPr="0079449F">
        <w:t xml:space="preserve"> » comme chez </w:t>
      </w:r>
      <w:proofErr w:type="spellStart"/>
      <w:r w:rsidRPr="0079449F">
        <w:t>Kohn</w:t>
      </w:r>
      <w:proofErr w:type="spellEnd"/>
      <w:r w:rsidRPr="0079449F">
        <w:t>).</w:t>
      </w:r>
    </w:p>
  </w:footnote>
  <w:footnote w:id="7">
    <w:p w14:paraId="6BF11DEB" w14:textId="77777777" w:rsidR="00722343" w:rsidRPr="0079449F" w:rsidRDefault="00722343" w:rsidP="00202220">
      <w:pPr>
        <w:pStyle w:val="Notedebasdepage"/>
      </w:pPr>
      <w:r w:rsidRPr="0079449F">
        <w:rPr>
          <w:rStyle w:val="Appelnotedebasdep"/>
          <w:rFonts w:asciiTheme="majorBidi" w:hAnsiTheme="majorBidi" w:cstheme="majorBidi"/>
        </w:rPr>
        <w:footnoteRef/>
      </w:r>
      <w:r w:rsidRPr="0079449F">
        <w:t xml:space="preserve"> Comme il le formule ailleurs</w:t>
      </w:r>
      <w:r>
        <w:t>,</w:t>
      </w:r>
      <w:r w:rsidRPr="0079449F">
        <w:t xml:space="preserve"> sa pensée constitue une tentative assumée « d’intégrer l’anthropologie sociale et l’anthropologie biologique » (préface de l’ouvrage collectif co-écrit avec </w:t>
      </w:r>
      <w:proofErr w:type="spellStart"/>
      <w:r w:rsidRPr="0079449F">
        <w:t>Gisli</w:t>
      </w:r>
      <w:proofErr w:type="spellEnd"/>
      <w:r w:rsidRPr="0079449F">
        <w:t xml:space="preserve"> </w:t>
      </w:r>
      <w:proofErr w:type="spellStart"/>
      <w:r w:rsidRPr="0079449F">
        <w:t>Palsson</w:t>
      </w:r>
      <w:proofErr w:type="spellEnd"/>
      <w:r w:rsidRPr="0079449F">
        <w:t xml:space="preserve"> </w:t>
      </w:r>
      <w:proofErr w:type="spellStart"/>
      <w:r w:rsidRPr="0079449F">
        <w:rPr>
          <w:i/>
          <w:iCs/>
        </w:rPr>
        <w:t>Human</w:t>
      </w:r>
      <w:proofErr w:type="spellEnd"/>
      <w:r w:rsidRPr="0079449F">
        <w:rPr>
          <w:i/>
          <w:iCs/>
        </w:rPr>
        <w:t xml:space="preserve"> </w:t>
      </w:r>
      <w:proofErr w:type="spellStart"/>
      <w:r w:rsidRPr="0079449F">
        <w:rPr>
          <w:i/>
          <w:iCs/>
        </w:rPr>
        <w:t>Becomings</w:t>
      </w:r>
      <w:proofErr w:type="spellEnd"/>
      <w:r w:rsidRPr="0079449F">
        <w:t>, 2013).</w:t>
      </w:r>
    </w:p>
  </w:footnote>
  <w:footnote w:id="8">
    <w:p w14:paraId="1C15BC15" w14:textId="77777777" w:rsidR="00722343" w:rsidRPr="0079449F" w:rsidRDefault="00722343" w:rsidP="00202220">
      <w:pPr>
        <w:pStyle w:val="Notedebasdepage"/>
        <w:rPr>
          <w:lang w:val="en-US"/>
        </w:rPr>
      </w:pPr>
      <w:r w:rsidRPr="0079449F">
        <w:rPr>
          <w:rStyle w:val="Appelnotedebasdep"/>
          <w:rFonts w:asciiTheme="majorBidi" w:hAnsiTheme="majorBidi" w:cstheme="majorBidi"/>
        </w:rPr>
        <w:footnoteRef/>
      </w:r>
      <w:r w:rsidRPr="0079449F">
        <w:rPr>
          <w:lang w:val="en-US"/>
        </w:rPr>
        <w:t xml:space="preserve"> </w:t>
      </w:r>
      <w:proofErr w:type="spellStart"/>
      <w:r>
        <w:rPr>
          <w:lang w:val="en-US"/>
        </w:rPr>
        <w:t>Voir</w:t>
      </w:r>
      <w:proofErr w:type="spellEnd"/>
      <w:r>
        <w:rPr>
          <w:lang w:val="en-US"/>
        </w:rPr>
        <w:t xml:space="preserve"> </w:t>
      </w:r>
      <w:proofErr w:type="spellStart"/>
      <w:r>
        <w:rPr>
          <w:lang w:val="en-US"/>
        </w:rPr>
        <w:t>Mesoudi</w:t>
      </w:r>
      <w:proofErr w:type="spellEnd"/>
      <w:r>
        <w:rPr>
          <w:lang w:val="en-US"/>
        </w:rPr>
        <w:t xml:space="preserve">, Alex, </w:t>
      </w:r>
      <w:proofErr w:type="spellStart"/>
      <w:r>
        <w:rPr>
          <w:lang w:val="en-US"/>
        </w:rPr>
        <w:t>Whithen</w:t>
      </w:r>
      <w:proofErr w:type="spellEnd"/>
      <w:r>
        <w:rPr>
          <w:lang w:val="en-US"/>
        </w:rPr>
        <w:t xml:space="preserve"> Andrew, </w:t>
      </w:r>
      <w:proofErr w:type="spellStart"/>
      <w:r>
        <w:rPr>
          <w:lang w:val="en-US"/>
        </w:rPr>
        <w:t>Laland</w:t>
      </w:r>
      <w:proofErr w:type="spellEnd"/>
      <w:r>
        <w:rPr>
          <w:lang w:val="en-US"/>
        </w:rPr>
        <w:t xml:space="preserve"> Kevin, </w:t>
      </w:r>
      <w:r w:rsidRPr="0079449F">
        <w:rPr>
          <w:lang w:val="en-US"/>
        </w:rPr>
        <w:t xml:space="preserve">“Science, Evolution and Cultural Anthropology: A Response to Ingold (This Issue)”, </w:t>
      </w:r>
      <w:r w:rsidRPr="0079449F">
        <w:rPr>
          <w:i/>
          <w:iCs/>
          <w:lang w:val="en-US"/>
        </w:rPr>
        <w:t>Anthropology Today</w:t>
      </w:r>
      <w:r w:rsidRPr="0079449F">
        <w:rPr>
          <w:lang w:val="en-US"/>
        </w:rPr>
        <w:t>, Vol. 23, No. 2</w:t>
      </w:r>
      <w:r>
        <w:rPr>
          <w:lang w:val="en-US"/>
        </w:rPr>
        <w:t xml:space="preserve">, </w:t>
      </w:r>
      <w:r w:rsidRPr="0079449F">
        <w:rPr>
          <w:lang w:val="en-US"/>
        </w:rPr>
        <w:t>2007, p. 18</w:t>
      </w:r>
      <w:r>
        <w:rPr>
          <w:lang w:val="en-US"/>
        </w:rPr>
        <w:t>.</w:t>
      </w:r>
    </w:p>
  </w:footnote>
  <w:footnote w:id="9">
    <w:p w14:paraId="08DD20EA" w14:textId="77E2A202" w:rsidR="00722343" w:rsidRPr="007E5C0A" w:rsidRDefault="00722343" w:rsidP="00202220">
      <w:pPr>
        <w:pStyle w:val="Notedebasdepage"/>
        <w:rPr>
          <w:lang w:val="en-US"/>
        </w:rPr>
      </w:pPr>
      <w:r w:rsidRPr="007E5C0A">
        <w:rPr>
          <w:rStyle w:val="Appelnotedebasdep"/>
          <w:rFonts w:asciiTheme="majorBidi" w:hAnsiTheme="majorBidi" w:cstheme="majorBidi"/>
        </w:rPr>
        <w:footnoteRef/>
      </w:r>
      <w:r w:rsidRPr="007E5C0A">
        <w:rPr>
          <w:lang w:val="en-US"/>
        </w:rPr>
        <w:t xml:space="preserve"> Ingold T., </w:t>
      </w:r>
      <w:r w:rsidRPr="00EE0581">
        <w:rPr>
          <w:i/>
          <w:iCs/>
          <w:lang w:val="en-US"/>
        </w:rPr>
        <w:t xml:space="preserve">op. </w:t>
      </w:r>
      <w:proofErr w:type="spellStart"/>
      <w:r w:rsidRPr="00EE0581">
        <w:rPr>
          <w:i/>
          <w:iCs/>
          <w:lang w:val="en-US"/>
        </w:rPr>
        <w:t>cit</w:t>
      </w:r>
      <w:proofErr w:type="spellEnd"/>
      <w:r w:rsidRPr="007E5C0A">
        <w:rPr>
          <w:lang w:val="en-US"/>
        </w:rPr>
        <w:t>, 1988, p. 3</w:t>
      </w:r>
      <w:r w:rsidR="00202220">
        <w:rPr>
          <w:lang w:val="en-US"/>
        </w:rPr>
        <w:t>.</w:t>
      </w:r>
    </w:p>
  </w:footnote>
  <w:footnote w:id="10">
    <w:p w14:paraId="264455B9" w14:textId="75D2E837" w:rsidR="00722343" w:rsidRPr="0079449F" w:rsidRDefault="00722343" w:rsidP="00202220">
      <w:pPr>
        <w:pStyle w:val="Notedebasdepage"/>
      </w:pPr>
      <w:r w:rsidRPr="007E5C0A">
        <w:rPr>
          <w:rStyle w:val="Appelnotedebasdep"/>
          <w:rFonts w:asciiTheme="majorBidi" w:hAnsiTheme="majorBidi" w:cstheme="majorBidi"/>
        </w:rPr>
        <w:footnoteRef/>
      </w:r>
      <w:r w:rsidRPr="007E5C0A">
        <w:t xml:space="preserve"> Il faut garder en tête qu’à cette époque, Ingold a les sociobiologistes en ligne de mire – mais si ses ennemis d’alors ont pris une autre forme</w:t>
      </w:r>
      <w:r w:rsidR="004D58F6">
        <w:t>,</w:t>
      </w:r>
      <w:r w:rsidRPr="0079449F">
        <w:t xml:space="preserve"> les arguments ont toujours autant de force</w:t>
      </w:r>
      <w:r>
        <w:t xml:space="preserve"> quarante ans plus tard</w:t>
      </w:r>
      <w:r w:rsidRPr="0079449F">
        <w:t>. On se saurait trop opposer le « </w:t>
      </w:r>
      <w:proofErr w:type="spellStart"/>
      <w:r w:rsidRPr="004D58F6">
        <w:rPr>
          <w:i/>
          <w:iCs/>
        </w:rPr>
        <w:t>becoming</w:t>
      </w:r>
      <w:proofErr w:type="spellEnd"/>
      <w:r w:rsidRPr="004D58F6">
        <w:rPr>
          <w:i/>
          <w:iCs/>
        </w:rPr>
        <w:t xml:space="preserve"> </w:t>
      </w:r>
      <w:proofErr w:type="spellStart"/>
      <w:r w:rsidRPr="004D58F6">
        <w:rPr>
          <w:i/>
          <w:iCs/>
        </w:rPr>
        <w:t>human</w:t>
      </w:r>
      <w:proofErr w:type="spellEnd"/>
      <w:r w:rsidRPr="0079449F">
        <w:t xml:space="preserve"> » </w:t>
      </w:r>
      <w:proofErr w:type="spellStart"/>
      <w:r w:rsidRPr="0079449F">
        <w:t>ingoldien</w:t>
      </w:r>
      <w:proofErr w:type="spellEnd"/>
      <w:r w:rsidRPr="0079449F">
        <w:t xml:space="preserve"> au « </w:t>
      </w:r>
      <w:proofErr w:type="spellStart"/>
      <w:r w:rsidRPr="004D58F6">
        <w:rPr>
          <w:i/>
          <w:iCs/>
        </w:rPr>
        <w:t>becoming</w:t>
      </w:r>
      <w:proofErr w:type="spellEnd"/>
      <w:r w:rsidRPr="004D58F6">
        <w:rPr>
          <w:i/>
          <w:iCs/>
        </w:rPr>
        <w:t xml:space="preserve"> </w:t>
      </w:r>
      <w:proofErr w:type="spellStart"/>
      <w:r w:rsidRPr="004D58F6">
        <w:rPr>
          <w:i/>
          <w:iCs/>
        </w:rPr>
        <w:t>human</w:t>
      </w:r>
      <w:proofErr w:type="spellEnd"/>
      <w:r w:rsidRPr="0079449F">
        <w:t xml:space="preserve"> » </w:t>
      </w:r>
      <w:proofErr w:type="spellStart"/>
      <w:r w:rsidRPr="0079449F">
        <w:t>tomasellien</w:t>
      </w:r>
      <w:proofErr w:type="spellEnd"/>
      <w:r w:rsidRPr="0079449F">
        <w:t>.</w:t>
      </w:r>
    </w:p>
    <w:p w14:paraId="26997433" w14:textId="77777777" w:rsidR="00722343" w:rsidRPr="00EF63A2" w:rsidRDefault="00722343" w:rsidP="00722343">
      <w:pPr>
        <w:pStyle w:val="Notedebasdepage"/>
      </w:pPr>
    </w:p>
  </w:footnote>
  <w:footnote w:id="11">
    <w:p w14:paraId="680B81C5" w14:textId="77777777" w:rsidR="00722343" w:rsidRPr="0079449F" w:rsidRDefault="00722343" w:rsidP="00202220">
      <w:pPr>
        <w:pStyle w:val="Notedebasdepage"/>
        <w:rPr>
          <w:rFonts w:eastAsia="Meiryo"/>
          <w:i/>
          <w:iCs/>
        </w:rPr>
      </w:pPr>
      <w:r w:rsidRPr="0079449F">
        <w:rPr>
          <w:rStyle w:val="Appelnotedebasdep"/>
          <w:rFonts w:asciiTheme="majorBidi" w:hAnsiTheme="majorBidi" w:cstheme="majorBidi"/>
        </w:rPr>
        <w:footnoteRef/>
      </w:r>
      <w:r w:rsidRPr="0079449F">
        <w:t xml:space="preserve"> Les textes d’Ingold sont en dialogue constant avec l’ouvrage de l’éthologue britannique</w:t>
      </w:r>
      <w:r w:rsidRPr="0079449F">
        <w:rPr>
          <w:rFonts w:eastAsia="Meiryo"/>
        </w:rPr>
        <w:t xml:space="preserve"> William Thorpe </w:t>
      </w:r>
      <w:r w:rsidRPr="0079449F">
        <w:rPr>
          <w:rFonts w:eastAsia="Meiryo"/>
          <w:i/>
          <w:iCs/>
        </w:rPr>
        <w:t xml:space="preserve">Animal Nature and </w:t>
      </w:r>
      <w:proofErr w:type="spellStart"/>
      <w:r w:rsidRPr="0079449F">
        <w:rPr>
          <w:rFonts w:eastAsia="Meiryo"/>
          <w:i/>
          <w:iCs/>
        </w:rPr>
        <w:t>Human</w:t>
      </w:r>
      <w:proofErr w:type="spellEnd"/>
      <w:r w:rsidRPr="0079449F">
        <w:rPr>
          <w:rFonts w:eastAsia="Meiryo"/>
          <w:i/>
          <w:iCs/>
        </w:rPr>
        <w:t xml:space="preserve"> Nature</w:t>
      </w:r>
      <w:r>
        <w:rPr>
          <w:rFonts w:eastAsia="Meiryo"/>
          <w:i/>
          <w:iCs/>
        </w:rPr>
        <w:t>.</w:t>
      </w:r>
    </w:p>
    <w:p w14:paraId="1C7E5A14" w14:textId="77777777" w:rsidR="00722343" w:rsidRPr="0079449F" w:rsidRDefault="00722343" w:rsidP="00722343">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9264" w14:textId="77777777" w:rsidR="007A1268" w:rsidRDefault="007A1268" w:rsidP="007A1268">
    <w:pPr>
      <w:pStyle w:val="En-tte"/>
      <w:jc w:val="both"/>
    </w:pPr>
    <w:r w:rsidRPr="007A1268">
      <w:rPr>
        <w:noProof/>
      </w:rPr>
      <w:drawing>
        <wp:inline distT="0" distB="0" distL="0" distR="0" wp14:anchorId="66579D16" wp14:editId="4A3246F5">
          <wp:extent cx="1246909" cy="5892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6909" cy="589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318E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EE8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326F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9207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36B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24EF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10E5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44D2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A4D0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F0D0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6CF8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4F3CB3"/>
    <w:multiLevelType w:val="hybridMultilevel"/>
    <w:tmpl w:val="5712DD3C"/>
    <w:lvl w:ilvl="0" w:tplc="5AE45A94">
      <w:numFmt w:val="bullet"/>
      <w:lvlText w:val="–"/>
      <w:lvlJc w:val="left"/>
      <w:pPr>
        <w:ind w:left="1068" w:hanging="360"/>
      </w:pPr>
      <w:rPr>
        <w:rFonts w:ascii="Adobe Caslon Pro" w:eastAsia="Arial Unicode MS" w:hAnsi="Adobe Caslon Pro" w:cs="Arial Unicode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65E4479"/>
    <w:multiLevelType w:val="hybridMultilevel"/>
    <w:tmpl w:val="8D3815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88C572D"/>
    <w:multiLevelType w:val="hybridMultilevel"/>
    <w:tmpl w:val="F6328D2C"/>
    <w:lvl w:ilvl="0" w:tplc="586C7DF2">
      <w:start w:val="1"/>
      <w:numFmt w:val="bullet"/>
      <w:pStyle w:val="VDIBibliographi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5"/>
  </w:num>
  <w:num w:numId="5">
    <w:abstractNumId w:val="6"/>
  </w:num>
  <w:num w:numId="6">
    <w:abstractNumId w:val="7"/>
  </w:num>
  <w:num w:numId="7">
    <w:abstractNumId w:val="8"/>
  </w:num>
  <w:num w:numId="8">
    <w:abstractNumId w:val="10"/>
  </w:num>
  <w:num w:numId="9">
    <w:abstractNumId w:val="1"/>
  </w:num>
  <w:num w:numId="10">
    <w:abstractNumId w:val="2"/>
  </w:num>
  <w:num w:numId="11">
    <w:abstractNumId w:val="3"/>
  </w:num>
  <w:num w:numId="12">
    <w:abstractNumId w:val="4"/>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A"/>
    <w:rsid w:val="0000797A"/>
    <w:rsid w:val="00031798"/>
    <w:rsid w:val="000462B1"/>
    <w:rsid w:val="00076CDA"/>
    <w:rsid w:val="000A449F"/>
    <w:rsid w:val="000B2407"/>
    <w:rsid w:val="000C3EA2"/>
    <w:rsid w:val="000E1207"/>
    <w:rsid w:val="000E64D7"/>
    <w:rsid w:val="00100FDE"/>
    <w:rsid w:val="00106373"/>
    <w:rsid w:val="00123D5E"/>
    <w:rsid w:val="00124ADA"/>
    <w:rsid w:val="001264AC"/>
    <w:rsid w:val="00171413"/>
    <w:rsid w:val="001A60CD"/>
    <w:rsid w:val="001B22FA"/>
    <w:rsid w:val="001C0661"/>
    <w:rsid w:val="001E233F"/>
    <w:rsid w:val="001E4C4E"/>
    <w:rsid w:val="001F2932"/>
    <w:rsid w:val="00202220"/>
    <w:rsid w:val="00231FE5"/>
    <w:rsid w:val="00235E33"/>
    <w:rsid w:val="0028766C"/>
    <w:rsid w:val="00314734"/>
    <w:rsid w:val="003253C2"/>
    <w:rsid w:val="00357564"/>
    <w:rsid w:val="003616E4"/>
    <w:rsid w:val="00370594"/>
    <w:rsid w:val="003A3728"/>
    <w:rsid w:val="003B1DDC"/>
    <w:rsid w:val="003B3E7A"/>
    <w:rsid w:val="003B6F96"/>
    <w:rsid w:val="00411810"/>
    <w:rsid w:val="00412DC5"/>
    <w:rsid w:val="00424A7A"/>
    <w:rsid w:val="00427A80"/>
    <w:rsid w:val="00437286"/>
    <w:rsid w:val="00440B6F"/>
    <w:rsid w:val="00463500"/>
    <w:rsid w:val="00472187"/>
    <w:rsid w:val="00481F8F"/>
    <w:rsid w:val="004D58F6"/>
    <w:rsid w:val="004D6529"/>
    <w:rsid w:val="004F57E5"/>
    <w:rsid w:val="0050039D"/>
    <w:rsid w:val="005069BE"/>
    <w:rsid w:val="005452E6"/>
    <w:rsid w:val="00570201"/>
    <w:rsid w:val="005A77EA"/>
    <w:rsid w:val="005C5829"/>
    <w:rsid w:val="005D5D24"/>
    <w:rsid w:val="00604921"/>
    <w:rsid w:val="00617961"/>
    <w:rsid w:val="00632336"/>
    <w:rsid w:val="0063372A"/>
    <w:rsid w:val="00637962"/>
    <w:rsid w:val="006432B1"/>
    <w:rsid w:val="00681218"/>
    <w:rsid w:val="00685886"/>
    <w:rsid w:val="006B5F5A"/>
    <w:rsid w:val="006E7A74"/>
    <w:rsid w:val="00722343"/>
    <w:rsid w:val="0072515D"/>
    <w:rsid w:val="0073080B"/>
    <w:rsid w:val="00740D4F"/>
    <w:rsid w:val="00763CD8"/>
    <w:rsid w:val="007701E0"/>
    <w:rsid w:val="00787779"/>
    <w:rsid w:val="007922AF"/>
    <w:rsid w:val="00792FBC"/>
    <w:rsid w:val="007A1268"/>
    <w:rsid w:val="007B5D97"/>
    <w:rsid w:val="007D35B5"/>
    <w:rsid w:val="007E729E"/>
    <w:rsid w:val="00865FAE"/>
    <w:rsid w:val="00880A74"/>
    <w:rsid w:val="008B1967"/>
    <w:rsid w:val="008C7D8A"/>
    <w:rsid w:val="008D57AB"/>
    <w:rsid w:val="008E46DD"/>
    <w:rsid w:val="008E5CFF"/>
    <w:rsid w:val="008F3232"/>
    <w:rsid w:val="009243CE"/>
    <w:rsid w:val="009400B0"/>
    <w:rsid w:val="009403BD"/>
    <w:rsid w:val="00953330"/>
    <w:rsid w:val="00961394"/>
    <w:rsid w:val="0098253B"/>
    <w:rsid w:val="009857DD"/>
    <w:rsid w:val="009F57ED"/>
    <w:rsid w:val="00A55C33"/>
    <w:rsid w:val="00A8559A"/>
    <w:rsid w:val="00AD258A"/>
    <w:rsid w:val="00AE4248"/>
    <w:rsid w:val="00B05675"/>
    <w:rsid w:val="00B24251"/>
    <w:rsid w:val="00B67DE6"/>
    <w:rsid w:val="00B80D50"/>
    <w:rsid w:val="00B83048"/>
    <w:rsid w:val="00B90D39"/>
    <w:rsid w:val="00BB0030"/>
    <w:rsid w:val="00BB1A65"/>
    <w:rsid w:val="00BC76CE"/>
    <w:rsid w:val="00BF0C14"/>
    <w:rsid w:val="00C12112"/>
    <w:rsid w:val="00C35861"/>
    <w:rsid w:val="00C70344"/>
    <w:rsid w:val="00C71D32"/>
    <w:rsid w:val="00C92AF8"/>
    <w:rsid w:val="00CA54CB"/>
    <w:rsid w:val="00CA6A71"/>
    <w:rsid w:val="00CD2835"/>
    <w:rsid w:val="00CE3519"/>
    <w:rsid w:val="00CE415E"/>
    <w:rsid w:val="00CE701F"/>
    <w:rsid w:val="00CE7976"/>
    <w:rsid w:val="00CF1909"/>
    <w:rsid w:val="00D06258"/>
    <w:rsid w:val="00D128B5"/>
    <w:rsid w:val="00D81B12"/>
    <w:rsid w:val="00D85E7E"/>
    <w:rsid w:val="00D85FB6"/>
    <w:rsid w:val="00D9144D"/>
    <w:rsid w:val="00D960E5"/>
    <w:rsid w:val="00DA1B1B"/>
    <w:rsid w:val="00DA63DC"/>
    <w:rsid w:val="00DD1322"/>
    <w:rsid w:val="00DF040B"/>
    <w:rsid w:val="00DF1D51"/>
    <w:rsid w:val="00DF54FA"/>
    <w:rsid w:val="00E213B0"/>
    <w:rsid w:val="00E248D4"/>
    <w:rsid w:val="00E623AC"/>
    <w:rsid w:val="00E64949"/>
    <w:rsid w:val="00E75C6B"/>
    <w:rsid w:val="00E82115"/>
    <w:rsid w:val="00E8682E"/>
    <w:rsid w:val="00E957F2"/>
    <w:rsid w:val="00E9587B"/>
    <w:rsid w:val="00ED5C35"/>
    <w:rsid w:val="00EE1383"/>
    <w:rsid w:val="00F0353B"/>
    <w:rsid w:val="00F049B7"/>
    <w:rsid w:val="00F43C5F"/>
    <w:rsid w:val="00F607AA"/>
    <w:rsid w:val="00F8354D"/>
    <w:rsid w:val="00FB0063"/>
    <w:rsid w:val="00FB6A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27DF4"/>
  <w15:docId w15:val="{C99CED18-9C16-3540-8136-2111FCCD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F323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styleId="Titre">
    <w:name w:val="Title"/>
    <w:next w:val="Corps"/>
    <w:pPr>
      <w:keepNext/>
    </w:pPr>
    <w:rPr>
      <w:rFonts w:ascii="Helvetica" w:hAnsi="Helvetica" w:cs="Arial Unicode MS"/>
      <w:b/>
      <w:bCs/>
      <w:color w:val="000000"/>
      <w:sz w:val="60"/>
      <w:szCs w:val="60"/>
    </w:rPr>
  </w:style>
  <w:style w:type="paragraph" w:customStyle="1" w:styleId="Corps">
    <w:name w:val="Corps"/>
    <w:qFormat/>
    <w:rsid w:val="00440B6F"/>
    <w:pPr>
      <w:shd w:val="clear" w:color="auto" w:fill="FFFFFF"/>
      <w:spacing w:after="240" w:line="276" w:lineRule="auto"/>
      <w:ind w:firstLine="708"/>
      <w:jc w:val="both"/>
    </w:pPr>
    <w:rPr>
      <w:rFonts w:ascii="Adobe Caslon Pro" w:hAnsi="Adobe Caslon Pro" w:cs="Arial Unicode MS"/>
      <w:color w:val="000000"/>
      <w:sz w:val="24"/>
      <w:szCs w:val="24"/>
      <w:u w:color="000000"/>
      <w:shd w:val="clear" w:color="auto" w:fill="FFFFFF"/>
    </w:rPr>
  </w:style>
  <w:style w:type="paragraph" w:styleId="Sous-titre">
    <w:name w:val="Subtitle"/>
    <w:next w:val="Corps"/>
    <w:pPr>
      <w:keepNext/>
    </w:pPr>
    <w:rPr>
      <w:rFonts w:ascii="Helvetica" w:hAnsi="Helvetica" w:cs="Arial Unicode MS"/>
      <w:color w:val="000000"/>
      <w:sz w:val="40"/>
      <w:szCs w:val="40"/>
    </w:rPr>
  </w:style>
  <w:style w:type="paragraph" w:customStyle="1" w:styleId="Chapo">
    <w:name w:val="Chapo"/>
    <w:pPr>
      <w:spacing w:line="276" w:lineRule="auto"/>
      <w:jc w:val="center"/>
    </w:pPr>
    <w:rPr>
      <w:rFonts w:ascii="Calibri" w:eastAsia="Calibri" w:hAnsi="Calibri" w:cs="Calibri"/>
      <w:b/>
      <w:bCs/>
      <w:color w:val="000000"/>
      <w:sz w:val="32"/>
      <w:szCs w:val="32"/>
      <w:u w:color="000000"/>
      <w:lang w:val="nl-NL"/>
    </w:rPr>
  </w:style>
  <w:style w:type="paragraph" w:customStyle="1" w:styleId="Sous-section2">
    <w:name w:val="Sous-section 2"/>
    <w:next w:val="Corps"/>
    <w:pPr>
      <w:keepNext/>
      <w:jc w:val="center"/>
      <w:outlineLvl w:val="1"/>
    </w:pPr>
    <w:rPr>
      <w:rFonts w:ascii="Helvetica" w:hAnsi="Helvetica" w:cs="Arial Unicode MS"/>
      <w:b/>
      <w:bCs/>
      <w:color w:val="000000"/>
      <w:sz w:val="24"/>
      <w:szCs w:val="24"/>
      <w:lang w:val="it-IT"/>
    </w:rPr>
  </w:style>
  <w:style w:type="paragraph" w:styleId="Lgende">
    <w:name w:val="caption"/>
    <w:pPr>
      <w:suppressAutoHyphens/>
      <w:outlineLvl w:val="0"/>
    </w:pPr>
    <w:rPr>
      <w:rFonts w:ascii="Calibri" w:eastAsia="Calibri" w:hAnsi="Calibri" w:cs="Calibri"/>
      <w:color w:val="000000"/>
      <w:sz w:val="36"/>
      <w:szCs w:val="36"/>
    </w:rPr>
  </w:style>
  <w:style w:type="paragraph" w:styleId="Paragraphedeliste">
    <w:name w:val="List Paragraph"/>
    <w:uiPriority w:val="34"/>
    <w:qFormat/>
    <w:pPr>
      <w:spacing w:after="200" w:line="276" w:lineRule="auto"/>
      <w:ind w:left="720"/>
    </w:pPr>
    <w:rPr>
      <w:rFonts w:ascii="Calibri" w:eastAsia="Calibri" w:hAnsi="Calibri" w:cs="Calibri"/>
      <w:color w:val="000000"/>
      <w:sz w:val="22"/>
      <w:szCs w:val="22"/>
      <w:u w:color="000000"/>
    </w:rPr>
  </w:style>
  <w:style w:type="character" w:customStyle="1" w:styleId="Lien">
    <w:name w:val="Lien"/>
    <w:rPr>
      <w:color w:val="0000FF"/>
      <w:u w:val="single" w:color="0000FF"/>
    </w:rPr>
  </w:style>
  <w:style w:type="character" w:customStyle="1" w:styleId="Hyperlink0">
    <w:name w:val="Hyperlink.0"/>
    <w:basedOn w:val="Lien"/>
    <w:rPr>
      <w:rFonts w:ascii="Adobe Caslon Pro" w:eastAsia="Adobe Caslon Pro" w:hAnsi="Adobe Caslon Pro" w:cs="Adobe Caslon Pro"/>
      <w:i/>
      <w:iCs/>
      <w:color w:val="0000FF"/>
      <w:sz w:val="24"/>
      <w:szCs w:val="24"/>
      <w:u w:val="single" w:color="0000FF"/>
    </w:rPr>
  </w:style>
  <w:style w:type="character" w:customStyle="1" w:styleId="apple-converted-space">
    <w:name w:val="apple-converted-space"/>
    <w:basedOn w:val="Policepardfaut"/>
    <w:rsid w:val="00C35861"/>
  </w:style>
  <w:style w:type="paragraph" w:customStyle="1" w:styleId="VDIChapo">
    <w:name w:val="VDI Chapo"/>
    <w:basedOn w:val="Chapo"/>
    <w:qFormat/>
    <w:rsid w:val="007922AF"/>
    <w:pPr>
      <w:pBdr>
        <w:top w:val="single" w:sz="8" w:space="15" w:color="DDDDDD"/>
        <w:bottom w:val="single" w:sz="8" w:space="15" w:color="DDDDDD"/>
      </w:pBdr>
      <w:spacing w:before="480" w:after="720"/>
    </w:pPr>
    <w:rPr>
      <w:shd w:val="clear" w:color="auto" w:fill="FFFFFF"/>
    </w:rPr>
  </w:style>
  <w:style w:type="paragraph" w:customStyle="1" w:styleId="VDITitre">
    <w:name w:val="VDI Titre"/>
    <w:basedOn w:val="Titre"/>
    <w:qFormat/>
    <w:rsid w:val="008C7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40"/>
      <w:jc w:val="center"/>
    </w:pPr>
    <w:rPr>
      <w:rFonts w:ascii="Myriad Pro" w:hAnsi="Myriad Pro"/>
      <w:b w:val="0"/>
      <w:bCs w:val="0"/>
      <w:noProof/>
      <w:sz w:val="64"/>
      <w:szCs w:val="64"/>
    </w:rPr>
  </w:style>
  <w:style w:type="paragraph" w:customStyle="1" w:styleId="VDISous-titre">
    <w:name w:val="VDI Sous-titre"/>
    <w:basedOn w:val="Sous-titre"/>
    <w:qFormat/>
    <w:rsid w:val="00235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Myriad Pro" w:hAnsi="Myriad Pro"/>
      <w:color w:val="3F6797"/>
      <w:sz w:val="38"/>
      <w:szCs w:val="38"/>
    </w:rPr>
  </w:style>
  <w:style w:type="paragraph" w:customStyle="1" w:styleId="VDIAuteur">
    <w:name w:val="VDI Auteur"/>
    <w:basedOn w:val="Corps"/>
    <w:qFormat/>
    <w:rsid w:val="00DF54FA"/>
    <w:pPr>
      <w:spacing w:before="480"/>
      <w:ind w:firstLine="0"/>
      <w:jc w:val="center"/>
    </w:pPr>
    <w:rPr>
      <w:b/>
      <w:i/>
      <w:sz w:val="28"/>
      <w:szCs w:val="28"/>
    </w:rPr>
  </w:style>
  <w:style w:type="character" w:styleId="Lienhypertextesuivivisit">
    <w:name w:val="FollowedHyperlink"/>
    <w:basedOn w:val="Policepardfaut"/>
    <w:uiPriority w:val="99"/>
    <w:semiHidden/>
    <w:unhideWhenUsed/>
    <w:rsid w:val="000C3EA2"/>
    <w:rPr>
      <w:color w:val="FF00FF" w:themeColor="followedHyperlink"/>
      <w:u w:val="single"/>
    </w:rPr>
  </w:style>
  <w:style w:type="paragraph" w:customStyle="1" w:styleId="VDIParagraphe">
    <w:name w:val="VDI Paragraphe"/>
    <w:basedOn w:val="Corps"/>
    <w:rsid w:val="000462B1"/>
  </w:style>
  <w:style w:type="paragraph" w:customStyle="1" w:styleId="VDIRecens">
    <w:name w:val="VDI Recensé"/>
    <w:basedOn w:val="Normal"/>
    <w:qFormat/>
    <w:rsid w:val="00D85FB6"/>
    <w:pPr>
      <w:spacing w:after="360"/>
    </w:pPr>
    <w:rPr>
      <w:rFonts w:ascii="Adobe Caslon Pro" w:hAnsi="Adobe Caslon Pro"/>
      <w:color w:val="4787A7"/>
      <w:sz w:val="28"/>
      <w:szCs w:val="28"/>
      <w:shd w:val="clear" w:color="auto" w:fill="FFFFFF"/>
    </w:rPr>
  </w:style>
  <w:style w:type="paragraph" w:customStyle="1" w:styleId="VDIIntertitre">
    <w:name w:val="VDI Intertitre"/>
    <w:basedOn w:val="Sous-section2"/>
    <w:qFormat/>
    <w:rsid w:val="00D85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80" w:after="480"/>
    </w:pPr>
    <w:rPr>
      <w:rFonts w:ascii="Adobe Caslon Pro Bold" w:hAnsi="Adobe Caslon Pro Bold"/>
      <w:bCs w:val="0"/>
      <w:sz w:val="34"/>
      <w:szCs w:val="34"/>
      <w:lang w:val="fr-FR"/>
    </w:rPr>
  </w:style>
  <w:style w:type="character" w:styleId="lev">
    <w:name w:val="Strong"/>
    <w:basedOn w:val="Policepardfaut"/>
    <w:uiPriority w:val="22"/>
    <w:rsid w:val="008E5CFF"/>
    <w:rPr>
      <w:b/>
      <w:bCs/>
    </w:rPr>
  </w:style>
  <w:style w:type="paragraph" w:customStyle="1" w:styleId="VDILgende">
    <w:name w:val="VDI Légende"/>
    <w:basedOn w:val="Corps"/>
    <w:qFormat/>
    <w:rsid w:val="00100FDE"/>
    <w:rPr>
      <w:rFonts w:eastAsia="Times New Roman" w:cs="Arial"/>
      <w:b/>
      <w:bCs/>
      <w:i/>
      <w:iCs/>
      <w:color w:val="808080"/>
      <w:sz w:val="22"/>
      <w:szCs w:val="22"/>
      <w:bdr w:val="none" w:sz="0" w:space="0" w:color="auto" w:frame="1"/>
    </w:rPr>
  </w:style>
  <w:style w:type="paragraph" w:styleId="Notedebasdepage">
    <w:name w:val="footnote text"/>
    <w:aliases w:val="VDI Note de bas de page"/>
    <w:basedOn w:val="Normal"/>
    <w:link w:val="NotedebasdepageCar"/>
    <w:uiPriority w:val="99"/>
    <w:unhideWhenUsed/>
    <w:qFormat/>
    <w:rsid w:val="00961394"/>
    <w:pPr>
      <w:pBdr>
        <w:top w:val="nil"/>
        <w:left w:val="nil"/>
        <w:bottom w:val="nil"/>
        <w:right w:val="nil"/>
        <w:between w:val="nil"/>
        <w:bar w:val="nil"/>
      </w:pBdr>
    </w:pPr>
    <w:rPr>
      <w:rFonts w:ascii="Adobe Caslon Pro" w:eastAsia="Arial Unicode MS" w:hAnsi="Adobe Caslon Pro"/>
      <w:sz w:val="20"/>
      <w:szCs w:val="20"/>
      <w:bdr w:val="nil"/>
      <w:lang w:eastAsia="en-US"/>
    </w:rPr>
  </w:style>
  <w:style w:type="character" w:customStyle="1" w:styleId="NotedebasdepageCar">
    <w:name w:val="Note de bas de page Car"/>
    <w:aliases w:val="VDI Note de bas de page Car"/>
    <w:basedOn w:val="Policepardfaut"/>
    <w:link w:val="Notedebasdepage"/>
    <w:uiPriority w:val="99"/>
    <w:rsid w:val="00961394"/>
    <w:rPr>
      <w:rFonts w:ascii="Adobe Caslon Pro" w:hAnsi="Adobe Caslon Pro"/>
      <w:lang w:eastAsia="en-US"/>
    </w:rPr>
  </w:style>
  <w:style w:type="character" w:styleId="Appelnotedebasdep">
    <w:name w:val="footnote reference"/>
    <w:basedOn w:val="Policepardfaut"/>
    <w:uiPriority w:val="99"/>
    <w:unhideWhenUsed/>
    <w:rsid w:val="00100FDE"/>
    <w:rPr>
      <w:vertAlign w:val="superscript"/>
    </w:rPr>
  </w:style>
  <w:style w:type="paragraph" w:customStyle="1" w:styleId="VDICitation">
    <w:name w:val="VDI Citation"/>
    <w:basedOn w:val="Corps"/>
    <w:qFormat/>
    <w:rsid w:val="00CA54C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ind w:left="567" w:right="567" w:firstLine="0"/>
      <w:contextualSpacing/>
    </w:pPr>
    <w:rPr>
      <w:color w:val="000000" w:themeColor="text1"/>
      <w:sz w:val="22"/>
      <w:szCs w:val="22"/>
      <w:shd w:val="clear" w:color="auto" w:fill="auto"/>
    </w:rPr>
  </w:style>
  <w:style w:type="paragraph" w:customStyle="1" w:styleId="VDIdate">
    <w:name w:val="VDI date"/>
    <w:basedOn w:val="Corps"/>
    <w:qFormat/>
    <w:rsid w:val="00C92AF8"/>
    <w:pPr>
      <w:spacing w:before="960"/>
      <w:jc w:val="right"/>
    </w:pPr>
    <w:rPr>
      <w:bdr w:val="none" w:sz="0" w:space="0" w:color="auto"/>
    </w:rPr>
  </w:style>
  <w:style w:type="paragraph" w:customStyle="1" w:styleId="VDIEncadr">
    <w:name w:val="VDI Encadré"/>
    <w:basedOn w:val="Corps"/>
    <w:qFormat/>
    <w:rsid w:val="00D85E7E"/>
    <w:pPr>
      <w:pBdr>
        <w:top w:val="single" w:sz="4" w:space="8" w:color="DBE5F1" w:themeColor="accent1" w:themeTint="33"/>
        <w:left w:val="single" w:sz="4" w:space="8" w:color="DBE5F1" w:themeColor="accent1" w:themeTint="33"/>
        <w:bottom w:val="single" w:sz="4" w:space="8" w:color="DBE5F1" w:themeColor="accent1" w:themeTint="33"/>
        <w:right w:val="single" w:sz="4" w:space="8" w:color="DBE5F1" w:themeColor="accent1" w:themeTint="33"/>
        <w:between w:val="none" w:sz="0" w:space="0" w:color="auto"/>
        <w:bar w:val="none" w:sz="0" w:color="auto"/>
      </w:pBdr>
      <w:shd w:val="clear" w:color="auto" w:fill="DBE5F1" w:themeFill="accent1" w:themeFillTint="33"/>
      <w:spacing w:before="120" w:after="360"/>
    </w:pPr>
    <w:rPr>
      <w:shd w:val="clear" w:color="auto" w:fill="auto"/>
    </w:rPr>
  </w:style>
  <w:style w:type="paragraph" w:customStyle="1" w:styleId="VDIBibliographie">
    <w:name w:val="VDI Bibliographie"/>
    <w:basedOn w:val="Corps"/>
    <w:qFormat/>
    <w:rsid w:val="00437286"/>
    <w:pPr>
      <w:numPr>
        <w:numId w:val="1"/>
      </w:numPr>
      <w:spacing w:before="120" w:after="120"/>
      <w:jc w:val="left"/>
    </w:pPr>
    <w:rPr>
      <w:rFonts w:eastAsia="Times New Roman"/>
      <w:color w:val="4787A7"/>
      <w:bdr w:val="none" w:sz="0" w:space="0" w:color="auto"/>
    </w:rPr>
  </w:style>
  <w:style w:type="paragraph" w:customStyle="1" w:styleId="VDIBibliographietitre">
    <w:name w:val="VDI Bibliographie titre"/>
    <w:basedOn w:val="Corps"/>
    <w:qFormat/>
    <w:rsid w:val="00CD2835"/>
    <w:pPr>
      <w:spacing w:after="120"/>
      <w:ind w:firstLine="0"/>
    </w:pPr>
    <w:rPr>
      <w:rFonts w:eastAsia="Times New Roman"/>
      <w:b/>
      <w:color w:val="4787A7"/>
      <w:bdr w:val="none" w:sz="0" w:space="0" w:color="auto"/>
    </w:rPr>
  </w:style>
  <w:style w:type="paragraph" w:customStyle="1" w:styleId="VDIEpigraphe">
    <w:name w:val="VDI Epigraphe"/>
    <w:basedOn w:val="Corps"/>
    <w:qFormat/>
    <w:rsid w:val="00CA54CB"/>
    <w:pPr>
      <w:spacing w:after="360"/>
      <w:ind w:firstLine="709"/>
      <w:contextualSpacing/>
      <w:jc w:val="right"/>
    </w:pPr>
    <w:rPr>
      <w:b/>
      <w:bCs/>
      <w:i/>
      <w:iCs/>
      <w:sz w:val="28"/>
      <w:szCs w:val="28"/>
      <w:bdr w:val="none" w:sz="0" w:space="0" w:color="auto"/>
    </w:rPr>
  </w:style>
  <w:style w:type="paragraph" w:customStyle="1" w:styleId="VDIpigraphefooter">
    <w:name w:val="VDI épigraphe footer"/>
    <w:basedOn w:val="Corps"/>
    <w:qFormat/>
    <w:rsid w:val="00CA54CB"/>
    <w:pPr>
      <w:ind w:firstLine="709"/>
      <w:contextualSpacing/>
      <w:jc w:val="right"/>
    </w:pPr>
    <w:rPr>
      <w:sz w:val="20"/>
      <w:szCs w:val="20"/>
      <w:bdr w:val="none" w:sz="0" w:space="0" w:color="auto" w:frame="1"/>
    </w:rPr>
  </w:style>
  <w:style w:type="paragraph" w:customStyle="1" w:styleId="VDIentretienquestion">
    <w:name w:val="VDI entretien question"/>
    <w:basedOn w:val="Corps"/>
    <w:rsid w:val="00F049B7"/>
    <w:pPr>
      <w:ind w:firstLine="0"/>
    </w:pPr>
    <w:rPr>
      <w:b/>
      <w:shd w:val="clear" w:color="auto" w:fill="auto"/>
    </w:rPr>
  </w:style>
  <w:style w:type="paragraph" w:customStyle="1" w:styleId="VDIAllerplusloin">
    <w:name w:val="VDI Aller plus loin"/>
    <w:basedOn w:val="Corps"/>
    <w:rsid w:val="00D85E7E"/>
    <w:pPr>
      <w:spacing w:after="360"/>
    </w:pPr>
    <w:rPr>
      <w:b/>
    </w:rPr>
  </w:style>
  <w:style w:type="paragraph" w:customStyle="1" w:styleId="VDIAllerpluslointitre">
    <w:name w:val="VDI Aller plus loin titre"/>
    <w:basedOn w:val="Corps"/>
    <w:rsid w:val="00D960E5"/>
    <w:pPr>
      <w:spacing w:after="120"/>
    </w:pPr>
    <w:rPr>
      <w:b/>
      <w:sz w:val="28"/>
      <w:szCs w:val="28"/>
    </w:rPr>
  </w:style>
  <w:style w:type="paragraph" w:customStyle="1" w:styleId="VDIquestionentretien">
    <w:name w:val="VDI question entretien"/>
    <w:basedOn w:val="VDIAllerpluslointitre"/>
    <w:rsid w:val="001E4C4E"/>
    <w:pPr>
      <w:spacing w:before="360"/>
    </w:pPr>
  </w:style>
  <w:style w:type="character" w:styleId="Accentuation">
    <w:name w:val="Emphasis"/>
    <w:basedOn w:val="Policepardfaut"/>
    <w:uiPriority w:val="20"/>
    <w:qFormat/>
    <w:rsid w:val="0063372A"/>
    <w:rPr>
      <w:i/>
      <w:iCs/>
    </w:rPr>
  </w:style>
  <w:style w:type="character" w:customStyle="1" w:styleId="Caractresdenotedebasdepage">
    <w:name w:val="Caractères de note de bas de page"/>
    <w:rsid w:val="008F3232"/>
  </w:style>
  <w:style w:type="character" w:customStyle="1" w:styleId="Appelnotedebasdep1">
    <w:name w:val="Appel note de bas de p.1"/>
    <w:rsid w:val="008F3232"/>
    <w:rPr>
      <w:vertAlign w:val="superscript"/>
    </w:rPr>
  </w:style>
  <w:style w:type="character" w:customStyle="1" w:styleId="Marquedecommentaire2">
    <w:name w:val="Marque de commentaire2"/>
    <w:rsid w:val="008F3232"/>
    <w:rPr>
      <w:sz w:val="16"/>
      <w:szCs w:val="16"/>
    </w:rPr>
  </w:style>
  <w:style w:type="character" w:styleId="Marquedecommentaire">
    <w:name w:val="annotation reference"/>
    <w:uiPriority w:val="99"/>
    <w:semiHidden/>
    <w:unhideWhenUsed/>
    <w:rsid w:val="008F3232"/>
    <w:rPr>
      <w:sz w:val="16"/>
      <w:szCs w:val="16"/>
    </w:rPr>
  </w:style>
  <w:style w:type="paragraph" w:styleId="Commentaire">
    <w:name w:val="annotation text"/>
    <w:basedOn w:val="Normal"/>
    <w:link w:val="CommentaireCar1"/>
    <w:uiPriority w:val="99"/>
    <w:semiHidden/>
    <w:unhideWhenUsed/>
    <w:rsid w:val="008F3232"/>
    <w:pPr>
      <w:suppressAutoHyphens/>
    </w:pPr>
    <w:rPr>
      <w:rFonts w:ascii="Liberation Serif" w:eastAsia="SimSun" w:hAnsi="Liberation Serif" w:cs="Mangal"/>
      <w:kern w:val="2"/>
      <w:sz w:val="20"/>
      <w:szCs w:val="18"/>
      <w:lang w:eastAsia="zh-CN" w:bidi="hi-IN"/>
    </w:rPr>
  </w:style>
  <w:style w:type="character" w:customStyle="1" w:styleId="CommentaireCar">
    <w:name w:val="Commentaire Car"/>
    <w:basedOn w:val="Policepardfaut"/>
    <w:uiPriority w:val="99"/>
    <w:semiHidden/>
    <w:rsid w:val="008F3232"/>
    <w:rPr>
      <w:rFonts w:asciiTheme="minorHAnsi" w:eastAsiaTheme="minorHAnsi" w:hAnsiTheme="minorHAnsi" w:cstheme="minorBidi"/>
      <w:bdr w:val="none" w:sz="0" w:space="0" w:color="auto"/>
      <w:lang w:eastAsia="en-US"/>
    </w:rPr>
  </w:style>
  <w:style w:type="character" w:customStyle="1" w:styleId="CommentaireCar1">
    <w:name w:val="Commentaire Car1"/>
    <w:link w:val="Commentaire"/>
    <w:uiPriority w:val="99"/>
    <w:semiHidden/>
    <w:rsid w:val="008F3232"/>
    <w:rPr>
      <w:rFonts w:ascii="Liberation Serif" w:eastAsia="SimSun" w:hAnsi="Liberation Serif" w:cs="Mangal"/>
      <w:kern w:val="2"/>
      <w:szCs w:val="18"/>
      <w:bdr w:val="none" w:sz="0" w:space="0" w:color="auto"/>
      <w:lang w:eastAsia="zh-CN" w:bidi="hi-IN"/>
    </w:rPr>
  </w:style>
  <w:style w:type="paragraph" w:styleId="Textedebulles">
    <w:name w:val="Balloon Text"/>
    <w:basedOn w:val="Normal"/>
    <w:link w:val="TextedebullesCar"/>
    <w:uiPriority w:val="99"/>
    <w:semiHidden/>
    <w:unhideWhenUsed/>
    <w:rsid w:val="008F3232"/>
    <w:rPr>
      <w:rFonts w:eastAsiaTheme="minorHAnsi"/>
      <w:sz w:val="18"/>
      <w:szCs w:val="18"/>
      <w:lang w:eastAsia="en-US"/>
    </w:rPr>
  </w:style>
  <w:style w:type="character" w:customStyle="1" w:styleId="TextedebullesCar">
    <w:name w:val="Texte de bulles Car"/>
    <w:basedOn w:val="Policepardfaut"/>
    <w:link w:val="Textedebulles"/>
    <w:uiPriority w:val="99"/>
    <w:semiHidden/>
    <w:rsid w:val="008F3232"/>
    <w:rPr>
      <w:rFonts w:eastAsiaTheme="minorHAnsi"/>
      <w:sz w:val="18"/>
      <w:szCs w:val="18"/>
      <w:bdr w:val="none" w:sz="0" w:space="0" w:color="auto"/>
      <w:lang w:eastAsia="en-US"/>
    </w:rPr>
  </w:style>
  <w:style w:type="paragraph" w:styleId="NormalWeb">
    <w:name w:val="Normal (Web)"/>
    <w:basedOn w:val="Normal"/>
    <w:uiPriority w:val="99"/>
    <w:semiHidden/>
    <w:unhideWhenUsed/>
    <w:rsid w:val="008F3232"/>
    <w:pPr>
      <w:spacing w:before="100" w:beforeAutospacing="1" w:after="100" w:afterAutospacing="1"/>
    </w:pPr>
  </w:style>
  <w:style w:type="character" w:customStyle="1" w:styleId="5yl5">
    <w:name w:val="_5yl5"/>
    <w:basedOn w:val="Policepardfaut"/>
    <w:rsid w:val="00106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1028">
      <w:bodyDiv w:val="1"/>
      <w:marLeft w:val="0"/>
      <w:marRight w:val="0"/>
      <w:marTop w:val="0"/>
      <w:marBottom w:val="0"/>
      <w:divBdr>
        <w:top w:val="none" w:sz="0" w:space="0" w:color="auto"/>
        <w:left w:val="none" w:sz="0" w:space="0" w:color="auto"/>
        <w:bottom w:val="none" w:sz="0" w:space="0" w:color="auto"/>
        <w:right w:val="none" w:sz="0" w:space="0" w:color="auto"/>
      </w:divBdr>
    </w:div>
    <w:div w:id="71708357">
      <w:bodyDiv w:val="1"/>
      <w:marLeft w:val="0"/>
      <w:marRight w:val="0"/>
      <w:marTop w:val="0"/>
      <w:marBottom w:val="0"/>
      <w:divBdr>
        <w:top w:val="none" w:sz="0" w:space="0" w:color="auto"/>
        <w:left w:val="none" w:sz="0" w:space="0" w:color="auto"/>
        <w:bottom w:val="none" w:sz="0" w:space="0" w:color="auto"/>
        <w:right w:val="none" w:sz="0" w:space="0" w:color="auto"/>
      </w:divBdr>
    </w:div>
    <w:div w:id="139422250">
      <w:bodyDiv w:val="1"/>
      <w:marLeft w:val="0"/>
      <w:marRight w:val="0"/>
      <w:marTop w:val="0"/>
      <w:marBottom w:val="0"/>
      <w:divBdr>
        <w:top w:val="none" w:sz="0" w:space="0" w:color="auto"/>
        <w:left w:val="none" w:sz="0" w:space="0" w:color="auto"/>
        <w:bottom w:val="none" w:sz="0" w:space="0" w:color="auto"/>
        <w:right w:val="none" w:sz="0" w:space="0" w:color="auto"/>
      </w:divBdr>
    </w:div>
    <w:div w:id="197544667">
      <w:bodyDiv w:val="1"/>
      <w:marLeft w:val="0"/>
      <w:marRight w:val="0"/>
      <w:marTop w:val="0"/>
      <w:marBottom w:val="0"/>
      <w:divBdr>
        <w:top w:val="none" w:sz="0" w:space="0" w:color="auto"/>
        <w:left w:val="none" w:sz="0" w:space="0" w:color="auto"/>
        <w:bottom w:val="none" w:sz="0" w:space="0" w:color="auto"/>
        <w:right w:val="none" w:sz="0" w:space="0" w:color="auto"/>
      </w:divBdr>
    </w:div>
    <w:div w:id="223755865">
      <w:bodyDiv w:val="1"/>
      <w:marLeft w:val="0"/>
      <w:marRight w:val="0"/>
      <w:marTop w:val="0"/>
      <w:marBottom w:val="0"/>
      <w:divBdr>
        <w:top w:val="none" w:sz="0" w:space="0" w:color="auto"/>
        <w:left w:val="none" w:sz="0" w:space="0" w:color="auto"/>
        <w:bottom w:val="none" w:sz="0" w:space="0" w:color="auto"/>
        <w:right w:val="none" w:sz="0" w:space="0" w:color="auto"/>
      </w:divBdr>
    </w:div>
    <w:div w:id="237059798">
      <w:bodyDiv w:val="1"/>
      <w:marLeft w:val="0"/>
      <w:marRight w:val="0"/>
      <w:marTop w:val="0"/>
      <w:marBottom w:val="0"/>
      <w:divBdr>
        <w:top w:val="none" w:sz="0" w:space="0" w:color="auto"/>
        <w:left w:val="none" w:sz="0" w:space="0" w:color="auto"/>
        <w:bottom w:val="none" w:sz="0" w:space="0" w:color="auto"/>
        <w:right w:val="none" w:sz="0" w:space="0" w:color="auto"/>
      </w:divBdr>
    </w:div>
    <w:div w:id="258220919">
      <w:bodyDiv w:val="1"/>
      <w:marLeft w:val="0"/>
      <w:marRight w:val="0"/>
      <w:marTop w:val="0"/>
      <w:marBottom w:val="0"/>
      <w:divBdr>
        <w:top w:val="none" w:sz="0" w:space="0" w:color="auto"/>
        <w:left w:val="none" w:sz="0" w:space="0" w:color="auto"/>
        <w:bottom w:val="none" w:sz="0" w:space="0" w:color="auto"/>
        <w:right w:val="none" w:sz="0" w:space="0" w:color="auto"/>
      </w:divBdr>
    </w:div>
    <w:div w:id="389111970">
      <w:bodyDiv w:val="1"/>
      <w:marLeft w:val="0"/>
      <w:marRight w:val="0"/>
      <w:marTop w:val="0"/>
      <w:marBottom w:val="0"/>
      <w:divBdr>
        <w:top w:val="none" w:sz="0" w:space="0" w:color="auto"/>
        <w:left w:val="none" w:sz="0" w:space="0" w:color="auto"/>
        <w:bottom w:val="none" w:sz="0" w:space="0" w:color="auto"/>
        <w:right w:val="none" w:sz="0" w:space="0" w:color="auto"/>
      </w:divBdr>
    </w:div>
    <w:div w:id="474877128">
      <w:bodyDiv w:val="1"/>
      <w:marLeft w:val="0"/>
      <w:marRight w:val="0"/>
      <w:marTop w:val="0"/>
      <w:marBottom w:val="0"/>
      <w:divBdr>
        <w:top w:val="none" w:sz="0" w:space="0" w:color="auto"/>
        <w:left w:val="none" w:sz="0" w:space="0" w:color="auto"/>
        <w:bottom w:val="none" w:sz="0" w:space="0" w:color="auto"/>
        <w:right w:val="none" w:sz="0" w:space="0" w:color="auto"/>
      </w:divBdr>
    </w:div>
    <w:div w:id="480578348">
      <w:bodyDiv w:val="1"/>
      <w:marLeft w:val="0"/>
      <w:marRight w:val="0"/>
      <w:marTop w:val="0"/>
      <w:marBottom w:val="0"/>
      <w:divBdr>
        <w:top w:val="none" w:sz="0" w:space="0" w:color="auto"/>
        <w:left w:val="none" w:sz="0" w:space="0" w:color="auto"/>
        <w:bottom w:val="none" w:sz="0" w:space="0" w:color="auto"/>
        <w:right w:val="none" w:sz="0" w:space="0" w:color="auto"/>
      </w:divBdr>
    </w:div>
    <w:div w:id="505291682">
      <w:bodyDiv w:val="1"/>
      <w:marLeft w:val="0"/>
      <w:marRight w:val="0"/>
      <w:marTop w:val="0"/>
      <w:marBottom w:val="0"/>
      <w:divBdr>
        <w:top w:val="none" w:sz="0" w:space="0" w:color="auto"/>
        <w:left w:val="none" w:sz="0" w:space="0" w:color="auto"/>
        <w:bottom w:val="none" w:sz="0" w:space="0" w:color="auto"/>
        <w:right w:val="none" w:sz="0" w:space="0" w:color="auto"/>
      </w:divBdr>
    </w:div>
    <w:div w:id="524027488">
      <w:bodyDiv w:val="1"/>
      <w:marLeft w:val="0"/>
      <w:marRight w:val="0"/>
      <w:marTop w:val="0"/>
      <w:marBottom w:val="0"/>
      <w:divBdr>
        <w:top w:val="none" w:sz="0" w:space="0" w:color="auto"/>
        <w:left w:val="none" w:sz="0" w:space="0" w:color="auto"/>
        <w:bottom w:val="none" w:sz="0" w:space="0" w:color="auto"/>
        <w:right w:val="none" w:sz="0" w:space="0" w:color="auto"/>
      </w:divBdr>
    </w:div>
    <w:div w:id="599341691">
      <w:bodyDiv w:val="1"/>
      <w:marLeft w:val="0"/>
      <w:marRight w:val="0"/>
      <w:marTop w:val="0"/>
      <w:marBottom w:val="0"/>
      <w:divBdr>
        <w:top w:val="none" w:sz="0" w:space="0" w:color="auto"/>
        <w:left w:val="none" w:sz="0" w:space="0" w:color="auto"/>
        <w:bottom w:val="none" w:sz="0" w:space="0" w:color="auto"/>
        <w:right w:val="none" w:sz="0" w:space="0" w:color="auto"/>
      </w:divBdr>
    </w:div>
    <w:div w:id="625812950">
      <w:bodyDiv w:val="1"/>
      <w:marLeft w:val="0"/>
      <w:marRight w:val="0"/>
      <w:marTop w:val="0"/>
      <w:marBottom w:val="0"/>
      <w:divBdr>
        <w:top w:val="none" w:sz="0" w:space="0" w:color="auto"/>
        <w:left w:val="none" w:sz="0" w:space="0" w:color="auto"/>
        <w:bottom w:val="none" w:sz="0" w:space="0" w:color="auto"/>
        <w:right w:val="none" w:sz="0" w:space="0" w:color="auto"/>
      </w:divBdr>
    </w:div>
    <w:div w:id="637955511">
      <w:bodyDiv w:val="1"/>
      <w:marLeft w:val="0"/>
      <w:marRight w:val="0"/>
      <w:marTop w:val="0"/>
      <w:marBottom w:val="0"/>
      <w:divBdr>
        <w:top w:val="none" w:sz="0" w:space="0" w:color="auto"/>
        <w:left w:val="none" w:sz="0" w:space="0" w:color="auto"/>
        <w:bottom w:val="none" w:sz="0" w:space="0" w:color="auto"/>
        <w:right w:val="none" w:sz="0" w:space="0" w:color="auto"/>
      </w:divBdr>
    </w:div>
    <w:div w:id="718552040">
      <w:bodyDiv w:val="1"/>
      <w:marLeft w:val="0"/>
      <w:marRight w:val="0"/>
      <w:marTop w:val="0"/>
      <w:marBottom w:val="0"/>
      <w:divBdr>
        <w:top w:val="none" w:sz="0" w:space="0" w:color="auto"/>
        <w:left w:val="none" w:sz="0" w:space="0" w:color="auto"/>
        <w:bottom w:val="none" w:sz="0" w:space="0" w:color="auto"/>
        <w:right w:val="none" w:sz="0" w:space="0" w:color="auto"/>
      </w:divBdr>
    </w:div>
    <w:div w:id="789863063">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
    <w:div w:id="1007636358">
      <w:bodyDiv w:val="1"/>
      <w:marLeft w:val="0"/>
      <w:marRight w:val="0"/>
      <w:marTop w:val="0"/>
      <w:marBottom w:val="0"/>
      <w:divBdr>
        <w:top w:val="none" w:sz="0" w:space="0" w:color="auto"/>
        <w:left w:val="none" w:sz="0" w:space="0" w:color="auto"/>
        <w:bottom w:val="none" w:sz="0" w:space="0" w:color="auto"/>
        <w:right w:val="none" w:sz="0" w:space="0" w:color="auto"/>
      </w:divBdr>
    </w:div>
    <w:div w:id="1041131469">
      <w:bodyDiv w:val="1"/>
      <w:marLeft w:val="0"/>
      <w:marRight w:val="0"/>
      <w:marTop w:val="0"/>
      <w:marBottom w:val="0"/>
      <w:divBdr>
        <w:top w:val="none" w:sz="0" w:space="0" w:color="auto"/>
        <w:left w:val="none" w:sz="0" w:space="0" w:color="auto"/>
        <w:bottom w:val="none" w:sz="0" w:space="0" w:color="auto"/>
        <w:right w:val="none" w:sz="0" w:space="0" w:color="auto"/>
      </w:divBdr>
      <w:divsChild>
        <w:div w:id="1472675979">
          <w:marLeft w:val="0"/>
          <w:marRight w:val="0"/>
          <w:marTop w:val="0"/>
          <w:marBottom w:val="0"/>
          <w:divBdr>
            <w:top w:val="none" w:sz="0" w:space="0" w:color="auto"/>
            <w:left w:val="none" w:sz="0" w:space="0" w:color="auto"/>
            <w:bottom w:val="none" w:sz="0" w:space="0" w:color="auto"/>
            <w:right w:val="none" w:sz="0" w:space="0" w:color="auto"/>
          </w:divBdr>
          <w:divsChild>
            <w:div w:id="1455562256">
              <w:marLeft w:val="0"/>
              <w:marRight w:val="0"/>
              <w:marTop w:val="0"/>
              <w:marBottom w:val="0"/>
              <w:divBdr>
                <w:top w:val="none" w:sz="0" w:space="0" w:color="auto"/>
                <w:left w:val="none" w:sz="0" w:space="0" w:color="auto"/>
                <w:bottom w:val="none" w:sz="0" w:space="0" w:color="auto"/>
                <w:right w:val="none" w:sz="0" w:space="0" w:color="auto"/>
              </w:divBdr>
              <w:divsChild>
                <w:div w:id="18430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91743">
      <w:bodyDiv w:val="1"/>
      <w:marLeft w:val="0"/>
      <w:marRight w:val="0"/>
      <w:marTop w:val="0"/>
      <w:marBottom w:val="0"/>
      <w:divBdr>
        <w:top w:val="none" w:sz="0" w:space="0" w:color="auto"/>
        <w:left w:val="none" w:sz="0" w:space="0" w:color="auto"/>
        <w:bottom w:val="none" w:sz="0" w:space="0" w:color="auto"/>
        <w:right w:val="none" w:sz="0" w:space="0" w:color="auto"/>
      </w:divBdr>
    </w:div>
    <w:div w:id="1161580047">
      <w:bodyDiv w:val="1"/>
      <w:marLeft w:val="0"/>
      <w:marRight w:val="0"/>
      <w:marTop w:val="0"/>
      <w:marBottom w:val="0"/>
      <w:divBdr>
        <w:top w:val="none" w:sz="0" w:space="0" w:color="auto"/>
        <w:left w:val="none" w:sz="0" w:space="0" w:color="auto"/>
        <w:bottom w:val="none" w:sz="0" w:space="0" w:color="auto"/>
        <w:right w:val="none" w:sz="0" w:space="0" w:color="auto"/>
      </w:divBdr>
    </w:div>
    <w:div w:id="1209757426">
      <w:bodyDiv w:val="1"/>
      <w:marLeft w:val="0"/>
      <w:marRight w:val="0"/>
      <w:marTop w:val="0"/>
      <w:marBottom w:val="0"/>
      <w:divBdr>
        <w:top w:val="none" w:sz="0" w:space="0" w:color="auto"/>
        <w:left w:val="none" w:sz="0" w:space="0" w:color="auto"/>
        <w:bottom w:val="none" w:sz="0" w:space="0" w:color="auto"/>
        <w:right w:val="none" w:sz="0" w:space="0" w:color="auto"/>
      </w:divBdr>
    </w:div>
    <w:div w:id="1438864336">
      <w:bodyDiv w:val="1"/>
      <w:marLeft w:val="0"/>
      <w:marRight w:val="0"/>
      <w:marTop w:val="0"/>
      <w:marBottom w:val="0"/>
      <w:divBdr>
        <w:top w:val="none" w:sz="0" w:space="0" w:color="auto"/>
        <w:left w:val="none" w:sz="0" w:space="0" w:color="auto"/>
        <w:bottom w:val="none" w:sz="0" w:space="0" w:color="auto"/>
        <w:right w:val="none" w:sz="0" w:space="0" w:color="auto"/>
      </w:divBdr>
    </w:div>
    <w:div w:id="1459644283">
      <w:bodyDiv w:val="1"/>
      <w:marLeft w:val="0"/>
      <w:marRight w:val="0"/>
      <w:marTop w:val="0"/>
      <w:marBottom w:val="0"/>
      <w:divBdr>
        <w:top w:val="none" w:sz="0" w:space="0" w:color="auto"/>
        <w:left w:val="none" w:sz="0" w:space="0" w:color="auto"/>
        <w:bottom w:val="none" w:sz="0" w:space="0" w:color="auto"/>
        <w:right w:val="none" w:sz="0" w:space="0" w:color="auto"/>
      </w:divBdr>
    </w:div>
    <w:div w:id="1533151848">
      <w:bodyDiv w:val="1"/>
      <w:marLeft w:val="0"/>
      <w:marRight w:val="0"/>
      <w:marTop w:val="0"/>
      <w:marBottom w:val="0"/>
      <w:divBdr>
        <w:top w:val="none" w:sz="0" w:space="0" w:color="auto"/>
        <w:left w:val="none" w:sz="0" w:space="0" w:color="auto"/>
        <w:bottom w:val="none" w:sz="0" w:space="0" w:color="auto"/>
        <w:right w:val="none" w:sz="0" w:space="0" w:color="auto"/>
      </w:divBdr>
    </w:div>
    <w:div w:id="1714962243">
      <w:bodyDiv w:val="1"/>
      <w:marLeft w:val="0"/>
      <w:marRight w:val="0"/>
      <w:marTop w:val="0"/>
      <w:marBottom w:val="0"/>
      <w:divBdr>
        <w:top w:val="none" w:sz="0" w:space="0" w:color="auto"/>
        <w:left w:val="none" w:sz="0" w:space="0" w:color="auto"/>
        <w:bottom w:val="none" w:sz="0" w:space="0" w:color="auto"/>
        <w:right w:val="none" w:sz="0" w:space="0" w:color="auto"/>
      </w:divBdr>
    </w:div>
    <w:div w:id="1765567669">
      <w:bodyDiv w:val="1"/>
      <w:marLeft w:val="0"/>
      <w:marRight w:val="0"/>
      <w:marTop w:val="0"/>
      <w:marBottom w:val="0"/>
      <w:divBdr>
        <w:top w:val="none" w:sz="0" w:space="0" w:color="auto"/>
        <w:left w:val="none" w:sz="0" w:space="0" w:color="auto"/>
        <w:bottom w:val="none" w:sz="0" w:space="0" w:color="auto"/>
        <w:right w:val="none" w:sz="0" w:space="0" w:color="auto"/>
      </w:divBdr>
    </w:div>
    <w:div w:id="1821538844">
      <w:bodyDiv w:val="1"/>
      <w:marLeft w:val="0"/>
      <w:marRight w:val="0"/>
      <w:marTop w:val="0"/>
      <w:marBottom w:val="0"/>
      <w:divBdr>
        <w:top w:val="none" w:sz="0" w:space="0" w:color="auto"/>
        <w:left w:val="none" w:sz="0" w:space="0" w:color="auto"/>
        <w:bottom w:val="none" w:sz="0" w:space="0" w:color="auto"/>
        <w:right w:val="none" w:sz="0" w:space="0" w:color="auto"/>
      </w:divBdr>
    </w:div>
    <w:div w:id="1868135325">
      <w:bodyDiv w:val="1"/>
      <w:marLeft w:val="0"/>
      <w:marRight w:val="0"/>
      <w:marTop w:val="0"/>
      <w:marBottom w:val="0"/>
      <w:divBdr>
        <w:top w:val="none" w:sz="0" w:space="0" w:color="auto"/>
        <w:left w:val="none" w:sz="0" w:space="0" w:color="auto"/>
        <w:bottom w:val="none" w:sz="0" w:space="0" w:color="auto"/>
        <w:right w:val="none" w:sz="0" w:space="0" w:color="auto"/>
      </w:divBdr>
    </w:div>
    <w:div w:id="1965236008">
      <w:bodyDiv w:val="1"/>
      <w:marLeft w:val="0"/>
      <w:marRight w:val="0"/>
      <w:marTop w:val="0"/>
      <w:marBottom w:val="0"/>
      <w:divBdr>
        <w:top w:val="none" w:sz="0" w:space="0" w:color="auto"/>
        <w:left w:val="none" w:sz="0" w:space="0" w:color="auto"/>
        <w:bottom w:val="none" w:sz="0" w:space="0" w:color="auto"/>
        <w:right w:val="none" w:sz="0" w:space="0" w:color="auto"/>
      </w:divBdr>
    </w:div>
    <w:div w:id="1978342581">
      <w:bodyDiv w:val="1"/>
      <w:marLeft w:val="0"/>
      <w:marRight w:val="0"/>
      <w:marTop w:val="0"/>
      <w:marBottom w:val="0"/>
      <w:divBdr>
        <w:top w:val="none" w:sz="0" w:space="0" w:color="auto"/>
        <w:left w:val="none" w:sz="0" w:space="0" w:color="auto"/>
        <w:bottom w:val="none" w:sz="0" w:space="0" w:color="auto"/>
        <w:right w:val="none" w:sz="0" w:space="0" w:color="auto"/>
      </w:divBdr>
    </w:div>
    <w:div w:id="1996494700">
      <w:bodyDiv w:val="1"/>
      <w:marLeft w:val="0"/>
      <w:marRight w:val="0"/>
      <w:marTop w:val="0"/>
      <w:marBottom w:val="0"/>
      <w:divBdr>
        <w:top w:val="none" w:sz="0" w:space="0" w:color="auto"/>
        <w:left w:val="none" w:sz="0" w:space="0" w:color="auto"/>
        <w:bottom w:val="none" w:sz="0" w:space="0" w:color="auto"/>
        <w:right w:val="none" w:sz="0" w:space="0" w:color="auto"/>
      </w:divBdr>
    </w:div>
    <w:div w:id="21389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ette/Library/Group%20Containers/UBF8T346G9.Office/User%20Content.localized/Templates.localized/Mode&#768;le%20VDI.dotx"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0E884F5-4A3E-AF46-AE4C-9D93B0FD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VDI.dotx</Template>
  <TotalTime>1</TotalTime>
  <Pages>7</Pages>
  <Words>2026</Words>
  <Characters>11209</Characters>
  <Application>Microsoft Office Word</Application>
  <DocSecurity>0</DocSecurity>
  <Lines>193</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de rédaction</dc:creator>
  <cp:lastModifiedBy>Ariel Suhamy</cp:lastModifiedBy>
  <cp:revision>2</cp:revision>
  <cp:lastPrinted>2021-12-15T08:00:00Z</cp:lastPrinted>
  <dcterms:created xsi:type="dcterms:W3CDTF">2021-12-15T08:01:00Z</dcterms:created>
  <dcterms:modified xsi:type="dcterms:W3CDTF">2021-12-15T08:01:00Z</dcterms:modified>
</cp:coreProperties>
</file>