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DB5E8DA" w:rsidR="00E75C6B" w:rsidRDefault="00491D69" w:rsidP="00E75C6B">
      <w:pPr>
        <w:pStyle w:val="VDITitre"/>
      </w:pPr>
      <w:r>
        <w:t>Ces chiffres qui nous gouvernent</w:t>
      </w:r>
    </w:p>
    <w:p w14:paraId="7B5D2CF3" w14:textId="281483C4" w:rsidR="009C4C92" w:rsidRDefault="008B1967" w:rsidP="009C4C92">
      <w:pPr>
        <w:pStyle w:val="VDIAuteur"/>
      </w:pPr>
      <w:proofErr w:type="gramStart"/>
      <w:r>
        <w:t>p</w:t>
      </w:r>
      <w:r w:rsidR="00E75C6B" w:rsidRPr="00C76BEB">
        <w:t>ar</w:t>
      </w:r>
      <w:proofErr w:type="gramEnd"/>
      <w:r w:rsidR="00E75C6B" w:rsidRPr="00C76BEB">
        <w:t xml:space="preserve"> </w:t>
      </w:r>
      <w:r w:rsidR="009C4C92">
        <w:t xml:space="preserve">Béatrice </w:t>
      </w:r>
      <w:proofErr w:type="spellStart"/>
      <w:r w:rsidR="009C4C92">
        <w:t>Touchelay</w:t>
      </w:r>
      <w:proofErr w:type="spellEnd"/>
    </w:p>
    <w:p w14:paraId="78C5B38E" w14:textId="13A38A82" w:rsidR="00E8682E" w:rsidRDefault="00491D69" w:rsidP="00E8682E">
      <w:pPr>
        <w:pStyle w:val="VDIChapo"/>
      </w:pPr>
      <w:r>
        <w:t xml:space="preserve">Indicateurs </w:t>
      </w:r>
      <w:proofErr w:type="spellStart"/>
      <w:r>
        <w:t>numériques</w:t>
      </w:r>
      <w:proofErr w:type="spellEnd"/>
      <w:r>
        <w:t>,</w:t>
      </w:r>
      <w:r w:rsidR="008069A4">
        <w:t xml:space="preserve"> </w:t>
      </w:r>
      <w:proofErr w:type="spellStart"/>
      <w:r w:rsidR="008069A4">
        <w:t>jauges</w:t>
      </w:r>
      <w:proofErr w:type="spellEnd"/>
      <w:r w:rsidR="008069A4">
        <w:t xml:space="preserve">, </w:t>
      </w:r>
      <w:proofErr w:type="spellStart"/>
      <w:r w:rsidR="008069A4">
        <w:t>limites</w:t>
      </w:r>
      <w:proofErr w:type="spellEnd"/>
      <w:r w:rsidR="008069A4">
        <w:t xml:space="preserve"> de </w:t>
      </w:r>
      <w:proofErr w:type="spellStart"/>
      <w:r w:rsidR="008069A4">
        <w:t>kilomètres</w:t>
      </w:r>
      <w:proofErr w:type="spellEnd"/>
      <w:r w:rsidR="008069A4">
        <w:t xml:space="preserve">, </w:t>
      </w:r>
      <w:proofErr w:type="spellStart"/>
      <w:r w:rsidR="008069A4">
        <w:t>taux</w:t>
      </w:r>
      <w:proofErr w:type="spellEnd"/>
      <w:r w:rsidR="008069A4">
        <w:t xml:space="preserve"> </w:t>
      </w:r>
      <w:proofErr w:type="spellStart"/>
      <w:r w:rsidR="008069A4">
        <w:t>d’occupation</w:t>
      </w:r>
      <w:proofErr w:type="spellEnd"/>
      <w:r w:rsidR="008069A4">
        <w:t xml:space="preserve"> des </w:t>
      </w:r>
      <w:proofErr w:type="spellStart"/>
      <w:r w:rsidR="008069A4">
        <w:t>lits</w:t>
      </w:r>
      <w:proofErr w:type="spellEnd"/>
      <w:r w:rsidR="008069A4">
        <w:t xml:space="preserve">… La barricade des </w:t>
      </w:r>
      <w:proofErr w:type="spellStart"/>
      <w:r w:rsidR="008069A4">
        <w:t>chiffres</w:t>
      </w:r>
      <w:proofErr w:type="spellEnd"/>
      <w:r w:rsidR="008069A4">
        <w:t xml:space="preserve"> derrière </w:t>
      </w:r>
      <w:proofErr w:type="spellStart"/>
      <w:r w:rsidR="008069A4">
        <w:t>laquelle</w:t>
      </w:r>
      <w:proofErr w:type="spellEnd"/>
      <w:r w:rsidR="008069A4">
        <w:t xml:space="preserve"> les </w:t>
      </w:r>
      <w:proofErr w:type="spellStart"/>
      <w:r w:rsidR="008069A4">
        <w:t>pouvoirs</w:t>
      </w:r>
      <w:proofErr w:type="spellEnd"/>
      <w:r w:rsidR="008069A4">
        <w:t xml:space="preserve"> se </w:t>
      </w:r>
      <w:proofErr w:type="spellStart"/>
      <w:r w:rsidR="008069A4">
        <w:t>retranchent</w:t>
      </w:r>
      <w:proofErr w:type="spellEnd"/>
      <w:r w:rsidR="008069A4">
        <w:t xml:space="preserve"> </w:t>
      </w:r>
      <w:proofErr w:type="spellStart"/>
      <w:r w:rsidR="008069A4">
        <w:t>sert</w:t>
      </w:r>
      <w:proofErr w:type="spellEnd"/>
      <w:r w:rsidR="008069A4">
        <w:t xml:space="preserve">-elle à </w:t>
      </w:r>
      <w:proofErr w:type="spellStart"/>
      <w:r w:rsidR="008069A4">
        <w:t>donner</w:t>
      </w:r>
      <w:proofErr w:type="spellEnd"/>
      <w:r w:rsidR="008069A4">
        <w:t xml:space="preserve"> </w:t>
      </w:r>
      <w:proofErr w:type="spellStart"/>
      <w:r w:rsidR="008069A4">
        <w:t>le</w:t>
      </w:r>
      <w:proofErr w:type="spellEnd"/>
      <w:r w:rsidR="008069A4">
        <w:t xml:space="preserve"> </w:t>
      </w:r>
      <w:proofErr w:type="gramStart"/>
      <w:r w:rsidR="008069A4">
        <w:t>change ?</w:t>
      </w:r>
      <w:proofErr w:type="gramEnd"/>
    </w:p>
    <w:p w14:paraId="2541BB0E" w14:textId="220D3041" w:rsidR="00765D7E" w:rsidRDefault="00C12112" w:rsidP="009C4C92">
      <w:pPr>
        <w:pStyle w:val="VDIRecens"/>
      </w:pPr>
      <w:r w:rsidRPr="00CE701F">
        <w:t>À propos de</w:t>
      </w:r>
      <w:r w:rsidR="00CE701F">
        <w:t> </w:t>
      </w:r>
      <w:r w:rsidR="00CE701F" w:rsidRPr="00CE701F">
        <w:t>:</w:t>
      </w:r>
      <w:r w:rsidR="009C4C92">
        <w:t xml:space="preserve"> </w:t>
      </w:r>
      <w:r w:rsidR="00765D7E" w:rsidRPr="00FC5B55">
        <w:t>Olivier Martin</w:t>
      </w:r>
      <w:r w:rsidR="00765D7E">
        <w:t>,</w:t>
      </w:r>
      <w:r w:rsidR="00765D7E" w:rsidRPr="00FC5B55">
        <w:t xml:space="preserve"> </w:t>
      </w:r>
      <w:r w:rsidR="00765D7E" w:rsidRPr="00FC5B55">
        <w:rPr>
          <w:i/>
        </w:rPr>
        <w:t>L’empire des chiffres</w:t>
      </w:r>
      <w:r w:rsidR="00765D7E" w:rsidRPr="00FC5B55">
        <w:t>, Armand Colin</w:t>
      </w:r>
      <w:r w:rsidR="00765D7E">
        <w:t>,</w:t>
      </w:r>
      <w:r w:rsidR="00765D7E" w:rsidRPr="00FC5B55">
        <w:t xml:space="preserve"> 2020</w:t>
      </w:r>
      <w:r w:rsidR="00765D7E">
        <w:t>,</w:t>
      </w:r>
      <w:r w:rsidR="00765D7E" w:rsidRPr="00FC5B55">
        <w:t xml:space="preserve"> 298 p</w:t>
      </w:r>
      <w:r w:rsidR="00765D7E">
        <w:t>.</w:t>
      </w:r>
      <w:r w:rsidR="00DE390D">
        <w:t xml:space="preserve">, 25 €.  </w:t>
      </w:r>
    </w:p>
    <w:p w14:paraId="65B1DD5A" w14:textId="77777777" w:rsidR="00765D7E" w:rsidRDefault="00765D7E" w:rsidP="009C4C92">
      <w:pPr>
        <w:pStyle w:val="Corps"/>
      </w:pPr>
      <w:r>
        <w:t>La</w:t>
      </w:r>
      <w:r w:rsidRPr="00B67098">
        <w:t xml:space="preserve"> pandémie a placé la mesure au cœur de notre quotidien : </w:t>
      </w:r>
      <w:r>
        <w:t>restreignant</w:t>
      </w:r>
      <w:r w:rsidRPr="00B67098">
        <w:t xml:space="preserve"> le droit de sortie à </w:t>
      </w:r>
      <w:r>
        <w:t>x</w:t>
      </w:r>
      <w:r w:rsidRPr="00B67098">
        <w:t xml:space="preserve"> k</w:t>
      </w:r>
      <w:r>
        <w:t>ilo</w:t>
      </w:r>
      <w:r w:rsidRPr="00B67098">
        <w:t>m</w:t>
      </w:r>
      <w:r>
        <w:t>ètres</w:t>
      </w:r>
      <w:r w:rsidRPr="00B67098">
        <w:t xml:space="preserve"> du domicile</w:t>
      </w:r>
      <w:r>
        <w:t xml:space="preserve">, </w:t>
      </w:r>
      <w:r w:rsidRPr="00B67098">
        <w:t xml:space="preserve">imposant des jauges de </w:t>
      </w:r>
      <w:r>
        <w:t>fréquentation de certains lieux</w:t>
      </w:r>
      <w:r w:rsidRPr="00B67098">
        <w:t xml:space="preserve"> et conditionnant la levée des restrictions à un indicateur</w:t>
      </w:r>
      <w:r>
        <w:t xml:space="preserve"> chiffré (taux d</w:t>
      </w:r>
      <w:r w:rsidRPr="00B67098">
        <w:t>’occupation des lits de réanimation</w:t>
      </w:r>
      <w:r>
        <w:t>)</w:t>
      </w:r>
      <w:r w:rsidRPr="00B67098">
        <w:t>. Sans boussole face à une situation inédite sous la V</w:t>
      </w:r>
      <w:r w:rsidRPr="00B67098">
        <w:rPr>
          <w:vertAlign w:val="superscript"/>
        </w:rPr>
        <w:t>e</w:t>
      </w:r>
      <w:r w:rsidRPr="00B67098">
        <w:t xml:space="preserve"> République, le Prince a</w:t>
      </w:r>
      <w:r>
        <w:t>urait-il</w:t>
      </w:r>
      <w:r w:rsidRPr="00B67098">
        <w:t xml:space="preserve"> érigé une barricade de chiffres </w:t>
      </w:r>
      <w:r>
        <w:t>pour donner l’impression qu’il maî</w:t>
      </w:r>
      <w:r w:rsidRPr="00B67098">
        <w:t>trisait la situation</w:t>
      </w:r>
      <w:r>
        <w:t> ?</w:t>
      </w:r>
      <w:r w:rsidRPr="00B67098">
        <w:t xml:space="preserve"> </w:t>
      </w:r>
      <w:r>
        <w:t>Quoi qu’il en soit, les indicateurs numériques et l</w:t>
      </w:r>
      <w:r w:rsidRPr="00B67098">
        <w:t xml:space="preserve">’arbitraire des seuils </w:t>
      </w:r>
      <w:r>
        <w:t xml:space="preserve">ont servi d’argumentaire </w:t>
      </w:r>
      <w:r w:rsidRPr="00B67098">
        <w:t>politique</w:t>
      </w:r>
      <w:r>
        <w:t>, chassant les mots, la discussion, le consensus. La crise sanitaire marquerait-elle la défaite de la République du verbe – substance de la démocratie ?</w:t>
      </w:r>
      <w:r w:rsidRPr="00B67098">
        <w:t xml:space="preserve"> </w:t>
      </w:r>
      <w:r>
        <w:t xml:space="preserve">La réflexion à laquelle invite Olivier Martin vise précisément à donner les moyens de </w:t>
      </w:r>
      <w:r>
        <w:rPr>
          <w:lang w:eastAsia="ja-JP"/>
        </w:rPr>
        <w:t xml:space="preserve">s’emparer de ces chiffres qui nous gouvernent pour </w:t>
      </w:r>
      <w:r>
        <w:t>attiser nos</w:t>
      </w:r>
      <w:r w:rsidRPr="00B67098">
        <w:t xml:space="preserve"> regards critiques.</w:t>
      </w:r>
    </w:p>
    <w:p w14:paraId="7385BAA8" w14:textId="77777777" w:rsidR="00765D7E" w:rsidRDefault="00765D7E" w:rsidP="009C4C92">
      <w:pPr>
        <w:pStyle w:val="Corps"/>
      </w:pPr>
      <w:r>
        <w:t>E</w:t>
      </w:r>
      <w:r w:rsidRPr="00B67098">
        <w:t xml:space="preserve">n moins de 300 pages, Olivier Martin </w:t>
      </w:r>
      <w:r>
        <w:t>cherche à «</w:t>
      </w:r>
      <w:r w:rsidRPr="00B67098">
        <w:t xml:space="preserve"> penser tous les chiffres ensemble</w:t>
      </w:r>
      <w:r>
        <w:t>,</w:t>
      </w:r>
      <w:r w:rsidRPr="00B67098">
        <w:t xml:space="preserve"> à saisir leur racine commune et leur rôle structurant</w:t>
      </w:r>
      <w:r>
        <w:t xml:space="preserve"> » (p. 8). Il s’engage </w:t>
      </w:r>
      <w:r w:rsidRPr="00B67098">
        <w:t xml:space="preserve">à </w:t>
      </w:r>
      <w:r>
        <w:t xml:space="preserve">cerner </w:t>
      </w:r>
      <w:r w:rsidRPr="00B67098">
        <w:t>le</w:t>
      </w:r>
      <w:r>
        <w:t>ur</w:t>
      </w:r>
      <w:r w:rsidRPr="00B67098">
        <w:t>s points communs</w:t>
      </w:r>
      <w:r>
        <w:t xml:space="preserve">, à interpréter leur capacité à tout mesurer </w:t>
      </w:r>
      <w:r w:rsidRPr="00B67098">
        <w:t>(distances, durée, poids, vitesses</w:t>
      </w:r>
      <w:r>
        <w:t>, etc.</w:t>
      </w:r>
      <w:r w:rsidRPr="00B67098">
        <w:t xml:space="preserve">). </w:t>
      </w:r>
      <w:r>
        <w:t xml:space="preserve">Ce manuel, qui est plutôt un essai, entend préciser </w:t>
      </w:r>
      <w:r w:rsidRPr="00B67098">
        <w:t>la manière dont les individus utilisent les chiffres</w:t>
      </w:r>
      <w:r>
        <w:t xml:space="preserve"> et montrer comment en retour, ces mêmes individus </w:t>
      </w:r>
      <w:r w:rsidRPr="00B67098">
        <w:t xml:space="preserve">sont transformés par </w:t>
      </w:r>
      <w:r>
        <w:t>ces chiffres (p. 9). Sans être indigeste, l</w:t>
      </w:r>
      <w:r w:rsidRPr="00B67098">
        <w:t xml:space="preserve">e récit </w:t>
      </w:r>
      <w:r>
        <w:lastRenderedPageBreak/>
        <w:t xml:space="preserve">est savant, puisqu’il </w:t>
      </w:r>
      <w:r w:rsidRPr="00B67098">
        <w:t xml:space="preserve">s’appuie sur une bibliographie impressionnante par </w:t>
      </w:r>
      <w:r>
        <w:t>l</w:t>
      </w:r>
      <w:r w:rsidRPr="00B67098">
        <w:t>a diversité</w:t>
      </w:r>
      <w:r>
        <w:t xml:space="preserve"> des registres du savoir qu’elle mobilise. </w:t>
      </w:r>
    </w:p>
    <w:p w14:paraId="6C56AD9F" w14:textId="77777777" w:rsidR="00765D7E" w:rsidRPr="008D0A89" w:rsidRDefault="00765D7E" w:rsidP="009C4C92">
      <w:pPr>
        <w:pStyle w:val="VDIIntertitre"/>
      </w:pPr>
      <w:r w:rsidRPr="008D0A89">
        <w:t>Désacraliser l’expertise du chiffre</w:t>
      </w:r>
    </w:p>
    <w:p w14:paraId="544FB0DC" w14:textId="705A1D9B" w:rsidR="00765D7E" w:rsidRPr="00B67098" w:rsidRDefault="00765D7E" w:rsidP="009C4C92">
      <w:pPr>
        <w:pStyle w:val="Corps"/>
      </w:pPr>
      <w:r>
        <w:t>L’introduction présente clairement l’objet, les objectifs et les limites de la démarche. Les chiffres sont définis de façon assez large : ils « </w:t>
      </w:r>
      <w:r w:rsidRPr="00B67098">
        <w:t>expriment une quantité ou une appréciation quantitative » (</w:t>
      </w:r>
      <w:r>
        <w:t xml:space="preserve">p. </w:t>
      </w:r>
      <w:r w:rsidRPr="00B67098">
        <w:t>7)</w:t>
      </w:r>
      <w:r>
        <w:t>. Les étudier</w:t>
      </w:r>
      <w:r w:rsidRPr="00B67098">
        <w:t xml:space="preserve"> revient </w:t>
      </w:r>
      <w:r>
        <w:t>à</w:t>
      </w:r>
      <w:r w:rsidRPr="00B67098">
        <w:t xml:space="preserve"> </w:t>
      </w:r>
      <w:r>
        <w:t>examiner le processus de quantification, définie comme « </w:t>
      </w:r>
      <w:r w:rsidRPr="00B67098">
        <w:t>une action et une pratique</w:t>
      </w:r>
      <w:r>
        <w:t> »,</w:t>
      </w:r>
      <w:r w:rsidRPr="00B67098">
        <w:t xml:space="preserve"> </w:t>
      </w:r>
      <w:r>
        <w:t>en retenant « </w:t>
      </w:r>
      <w:r w:rsidRPr="00B67098">
        <w:t>tous les chiffres</w:t>
      </w:r>
      <w:r>
        <w:t> » et</w:t>
      </w:r>
      <w:r w:rsidRPr="00B67098">
        <w:t xml:space="preserve"> </w:t>
      </w:r>
      <w:r>
        <w:t>« </w:t>
      </w:r>
      <w:r w:rsidRPr="00B67098">
        <w:t>toutes les pratiques de quantification</w:t>
      </w:r>
      <w:r>
        <w:t> »</w:t>
      </w:r>
      <w:r w:rsidRPr="00B67098">
        <w:t xml:space="preserve"> (</w:t>
      </w:r>
      <w:r>
        <w:t>p.</w:t>
      </w:r>
      <w:r w:rsidR="009C4C92">
        <w:t xml:space="preserve"> </w:t>
      </w:r>
      <w:r w:rsidRPr="00B67098">
        <w:t>8)</w:t>
      </w:r>
      <w:r>
        <w:t>. Olivier Martin n’introduit qu’une limite à sa ‘boulimie du chiffre’</w:t>
      </w:r>
      <w:r>
        <w:rPr>
          <w:rStyle w:val="Appelnotedebasdep"/>
        </w:rPr>
        <w:footnoteReference w:id="1"/>
      </w:r>
      <w:r>
        <w:t>. Pour que le volume de l’ouvrage reste de dimension « raisonnable »</w:t>
      </w:r>
      <w:r w:rsidR="008E55C2">
        <w:t>,</w:t>
      </w:r>
      <w:r>
        <w:t xml:space="preserve"> il néglige « </w:t>
      </w:r>
      <w:r w:rsidRPr="00B67098">
        <w:t>les chiffres comptables et financiers</w:t>
      </w:r>
      <w:r>
        <w:t> », un parti pris éditorial qui peut être regretté</w:t>
      </w:r>
      <w:r w:rsidR="008E55C2">
        <w:t>,</w:t>
      </w:r>
      <w:r>
        <w:t xml:space="preserve"> mais qui est pleinement assumé. Le chantier ouvert est donc inachevé. </w:t>
      </w:r>
    </w:p>
    <w:p w14:paraId="1040CAC1" w14:textId="77777777" w:rsidR="00765D7E" w:rsidRDefault="00765D7E" w:rsidP="009C4C92">
      <w:pPr>
        <w:pStyle w:val="Corps"/>
      </w:pPr>
      <w:r>
        <w:t>L’ouvrage décrit la</w:t>
      </w:r>
      <w:r w:rsidRPr="00B67098">
        <w:t xml:space="preserve"> </w:t>
      </w:r>
      <w:proofErr w:type="spellStart"/>
      <w:r w:rsidRPr="00B67098">
        <w:rPr>
          <w:i/>
        </w:rPr>
        <w:t>success</w:t>
      </w:r>
      <w:proofErr w:type="spellEnd"/>
      <w:r w:rsidRPr="00B67098">
        <w:rPr>
          <w:i/>
        </w:rPr>
        <w:t xml:space="preserve"> story</w:t>
      </w:r>
      <w:r w:rsidRPr="00B67098">
        <w:t xml:space="preserve"> </w:t>
      </w:r>
      <w:r>
        <w:t xml:space="preserve">des chiffres conduisant </w:t>
      </w:r>
      <w:r w:rsidRPr="00B67098">
        <w:t xml:space="preserve">à </w:t>
      </w:r>
      <w:r>
        <w:t>la formation d’</w:t>
      </w:r>
      <w:r w:rsidRPr="00B67098">
        <w:t xml:space="preserve">un empire </w:t>
      </w:r>
      <w:r>
        <w:t xml:space="preserve">qui, comme tout empire, </w:t>
      </w:r>
      <w:r w:rsidRPr="00B67098">
        <w:t xml:space="preserve">souffre de certaines </w:t>
      </w:r>
      <w:r>
        <w:t>fragilités. Même omnipotents</w:t>
      </w:r>
      <w:r w:rsidRPr="00B67098">
        <w:t xml:space="preserve">, </w:t>
      </w:r>
      <w:r>
        <w:t>les chiffres sont critiqués, ils sont puissants et fragiles à la fois, et c’est là leur paradoxe. « O</w:t>
      </w:r>
      <w:r w:rsidRPr="00B67098">
        <w:t>bjets agissan</w:t>
      </w:r>
      <w:r>
        <w:t xml:space="preserve">ts » ils </w:t>
      </w:r>
      <w:r w:rsidRPr="00B67098">
        <w:t xml:space="preserve">peuvent être déformés </w:t>
      </w:r>
      <w:r>
        <w:t xml:space="preserve">et </w:t>
      </w:r>
      <w:r w:rsidRPr="00B67098">
        <w:t>manipulés</w:t>
      </w:r>
      <w:r>
        <w:t>. Ils suscitent des</w:t>
      </w:r>
      <w:r w:rsidRPr="00B67098">
        <w:t xml:space="preserve"> passion</w:t>
      </w:r>
      <w:r>
        <w:t>s et des controverses, de « </w:t>
      </w:r>
      <w:r w:rsidRPr="00B67098">
        <w:t>vrais</w:t>
      </w:r>
      <w:r>
        <w:t> »</w:t>
      </w:r>
      <w:r w:rsidRPr="00B67098">
        <w:t xml:space="preserve"> </w:t>
      </w:r>
      <w:r>
        <w:t xml:space="preserve">chiffres sont opposés aux « faux » </w:t>
      </w:r>
      <w:r w:rsidRPr="00B67098">
        <w:t>chiffres</w:t>
      </w:r>
      <w:r>
        <w:t xml:space="preserve">, sans que les critères de leur « vérité » soient explicités. </w:t>
      </w:r>
    </w:p>
    <w:p w14:paraId="20AF17FF" w14:textId="77777777" w:rsidR="00765D7E" w:rsidRDefault="00765D7E" w:rsidP="009C4C92">
      <w:pPr>
        <w:pStyle w:val="Corps"/>
      </w:pPr>
      <w:r>
        <w:t xml:space="preserve">Olivier Martin précise que même s’ils sont souvent confondus, les </w:t>
      </w:r>
      <w:r w:rsidRPr="00B67098">
        <w:t>statistiques</w:t>
      </w:r>
      <w:r>
        <w:t xml:space="preserve"> ne représentent qu’une partie </w:t>
      </w:r>
      <w:r w:rsidRPr="00B67098">
        <w:t>des chiffres</w:t>
      </w:r>
      <w:r>
        <w:t xml:space="preserve">. Elles concentrent l’attention depuis le développement de la socio histoire de la quantification des années 1970-1990, et le succès des thèses d’Alain </w:t>
      </w:r>
      <w:proofErr w:type="spellStart"/>
      <w:r>
        <w:t>Desrosières</w:t>
      </w:r>
      <w:proofErr w:type="spellEnd"/>
      <w:r>
        <w:rPr>
          <w:rStyle w:val="Appelnotedebasdep"/>
        </w:rPr>
        <w:footnoteReference w:id="2"/>
      </w:r>
      <w:r>
        <w:t xml:space="preserve"> pour la France ou de Ted Porter</w:t>
      </w:r>
      <w:r>
        <w:rPr>
          <w:rStyle w:val="Appelnotedebasdep"/>
        </w:rPr>
        <w:footnoteReference w:id="3"/>
      </w:r>
      <w:r>
        <w:t xml:space="preserve"> pour les États-Unis, dont le ‘prestige’ empêche d’appréhender les chiffres dans leur diversité. L’ouvrage vise à réparer cet oubli. Malgré leur diversité, il relie plusieurs types de mise en chiffre qu’ignore </w:t>
      </w:r>
      <w:r w:rsidRPr="00B67098">
        <w:t>la socio</w:t>
      </w:r>
      <w:r>
        <w:t xml:space="preserve"> histoire</w:t>
      </w:r>
      <w:r w:rsidRPr="00B67098">
        <w:t xml:space="preserve"> de la quanti</w:t>
      </w:r>
      <w:r>
        <w:t xml:space="preserve">fication. Olivier Martin fait ainsi </w:t>
      </w:r>
      <w:r w:rsidRPr="00B67098">
        <w:t xml:space="preserve">dialoguer </w:t>
      </w:r>
      <w:r>
        <w:t>plusieurs formes de quantification, celle des</w:t>
      </w:r>
      <w:r w:rsidRPr="00B67098">
        <w:t xml:space="preserve"> gr</w:t>
      </w:r>
      <w:r>
        <w:t xml:space="preserve">andeurs physiques ou naturelles, celle de la chimie, de la physique, de la sociologie, etc. </w:t>
      </w:r>
    </w:p>
    <w:p w14:paraId="783848DB" w14:textId="77777777" w:rsidR="00765D7E" w:rsidRDefault="00765D7E" w:rsidP="009C4C92">
      <w:pPr>
        <w:pStyle w:val="Corps"/>
      </w:pPr>
      <w:r>
        <w:lastRenderedPageBreak/>
        <w:t xml:space="preserve">L’auteur aborde les chiffres comme des faits sociaux </w:t>
      </w:r>
      <w:r w:rsidRPr="00B67098">
        <w:t>au sens de Durkheim</w:t>
      </w:r>
      <w:r>
        <w:t xml:space="preserve">, produits par la société et nécessaires à la vie collective. On ne peut que le suivre lorsqu’il indique que les chiffres sont partout. Ils sont nécessaires à la </w:t>
      </w:r>
      <w:r w:rsidRPr="00B67098">
        <w:t xml:space="preserve">vie </w:t>
      </w:r>
      <w:r>
        <w:t>collectiv</w:t>
      </w:r>
      <w:r w:rsidRPr="00B67098">
        <w:t>e</w:t>
      </w:r>
      <w:r>
        <w:t xml:space="preserve"> et répondent aux besoins de disposer d’un langage commun pour échanger. En proposant de comprendre comment ces chiffres se sont immiscés dans tous les espaces d’échange, Olivier Martin invite à partager le pouvoir qu’ils confèrent. Il n’appelle pas à leur substituer un nouveau langage, considérant que résister </w:t>
      </w:r>
      <w:r w:rsidRPr="00B67098">
        <w:t xml:space="preserve">à </w:t>
      </w:r>
      <w:r>
        <w:t>la mesure (du temps par exemple)</w:t>
      </w:r>
      <w:r w:rsidRPr="00B67098">
        <w:t xml:space="preserve"> revien</w:t>
      </w:r>
      <w:r>
        <w:t>drai</w:t>
      </w:r>
      <w:r w:rsidRPr="00B67098">
        <w:t>t à s’exclure de la vie sociale</w:t>
      </w:r>
      <w:r>
        <w:t xml:space="preserve">, mais il engage à ‘désacraliser’ l’expertise du chiffre. Le recul historique auquel il nous convie fournit de précieux outils pour aiguiser notre regard critique. </w:t>
      </w:r>
    </w:p>
    <w:p w14:paraId="224FF4BE" w14:textId="29D26865" w:rsidR="00765D7E" w:rsidRDefault="00765D7E" w:rsidP="009C4C92">
      <w:pPr>
        <w:pStyle w:val="Corps"/>
      </w:pPr>
      <w:r>
        <w:t>L’ouvrage se compose de deux parties inégales. La première explore</w:t>
      </w:r>
      <w:r w:rsidRPr="00B67098">
        <w:t xml:space="preserve"> </w:t>
      </w:r>
      <w:r>
        <w:t>différentes</w:t>
      </w:r>
      <w:r w:rsidRPr="00B67098">
        <w:t xml:space="preserve"> </w:t>
      </w:r>
      <w:r w:rsidRPr="00BC6246">
        <w:t>pratiques de quantification</w:t>
      </w:r>
      <w:r>
        <w:t xml:space="preserve">. La seconde partie précise leurs points communs. </w:t>
      </w:r>
    </w:p>
    <w:p w14:paraId="706CE82D" w14:textId="77777777" w:rsidR="00765D7E" w:rsidRPr="006B2C34" w:rsidRDefault="00765D7E" w:rsidP="009C4C92">
      <w:pPr>
        <w:pStyle w:val="VDIIntertitre"/>
      </w:pPr>
      <w:r w:rsidRPr="006B2C34">
        <w:t>Histoire de la mise en chiffre </w:t>
      </w:r>
    </w:p>
    <w:p w14:paraId="1D13E74F" w14:textId="4814BDD3" w:rsidR="00765D7E" w:rsidRDefault="00765D7E" w:rsidP="009C4C92">
      <w:pPr>
        <w:pStyle w:val="Corps"/>
      </w:pPr>
      <w:r>
        <w:t xml:space="preserve">La diversité des usages des chiffres s’inscrit dans le temps long. Elle procède du développement du </w:t>
      </w:r>
      <w:r w:rsidRPr="00B67098">
        <w:t xml:space="preserve">système des </w:t>
      </w:r>
      <w:r>
        <w:t xml:space="preserve">poids et mesure, parallèle à l’affirmation du langage </w:t>
      </w:r>
      <w:r w:rsidRPr="00B67098">
        <w:t>(</w:t>
      </w:r>
      <w:r>
        <w:t>p.</w:t>
      </w:r>
      <w:r w:rsidRPr="00B67098">
        <w:t xml:space="preserve">27) </w:t>
      </w:r>
      <w:r>
        <w:t>qui conduit à « </w:t>
      </w:r>
      <w:proofErr w:type="spellStart"/>
      <w:r>
        <w:t>médier</w:t>
      </w:r>
      <w:proofErr w:type="spellEnd"/>
      <w:r>
        <w:t xml:space="preserve"> » les </w:t>
      </w:r>
      <w:r w:rsidRPr="00B67098">
        <w:t xml:space="preserve">relations </w:t>
      </w:r>
      <w:r>
        <w:t>«</w:t>
      </w:r>
      <w:r w:rsidRPr="00B67098">
        <w:t xml:space="preserve"> par les nombres</w:t>
      </w:r>
      <w:r>
        <w:t> » et par les mots. Le temps par exemple est perçu comme « </w:t>
      </w:r>
      <w:r w:rsidRPr="00B67098">
        <w:t xml:space="preserve">une expérience sociale </w:t>
      </w:r>
      <w:r>
        <w:t>aux</w:t>
      </w:r>
      <w:r w:rsidRPr="00B67098">
        <w:t xml:space="preserve"> racines collectives</w:t>
      </w:r>
      <w:r>
        <w:t xml:space="preserve"> » répondant au « besoin </w:t>
      </w:r>
      <w:r w:rsidRPr="00B67098">
        <w:t>de coordonner</w:t>
      </w:r>
      <w:r>
        <w:t xml:space="preserve"> et de structurer la vie sociale » (</w:t>
      </w:r>
      <w:r w:rsidRPr="00B67098">
        <w:t>p</w:t>
      </w:r>
      <w:r>
        <w:t>.</w:t>
      </w:r>
      <w:r w:rsidR="007217B2">
        <w:t xml:space="preserve"> </w:t>
      </w:r>
      <w:r w:rsidRPr="00B67098">
        <w:t>57</w:t>
      </w:r>
      <w:r>
        <w:t xml:space="preserve">). </w:t>
      </w:r>
    </w:p>
    <w:p w14:paraId="1F9D76FA" w14:textId="77777777" w:rsidR="00765D7E" w:rsidRDefault="00765D7E" w:rsidP="009C4C92">
      <w:pPr>
        <w:pStyle w:val="Corps"/>
      </w:pPr>
      <w:r>
        <w:t>L’affirmation de la mesure passe par le renforcement de la précision, de l’abstraction et de l’</w:t>
      </w:r>
      <w:r w:rsidRPr="00B67098">
        <w:t>universalis</w:t>
      </w:r>
      <w:r>
        <w:t>ation, entre « l’</w:t>
      </w:r>
      <w:proofErr w:type="spellStart"/>
      <w:r>
        <w:t>h</w:t>
      </w:r>
      <w:r w:rsidRPr="00B67098">
        <w:t>ommée</w:t>
      </w:r>
      <w:proofErr w:type="spellEnd"/>
      <w:r w:rsidRPr="00B67098">
        <w:t> »</w:t>
      </w:r>
      <w:r>
        <w:t xml:space="preserve"> (</w:t>
      </w:r>
      <w:r w:rsidRPr="00B67098">
        <w:t>la parcelle que le vigneron peut travailler en une journée</w:t>
      </w:r>
      <w:r>
        <w:t xml:space="preserve">) et la </w:t>
      </w:r>
      <w:r w:rsidRPr="00B67098">
        <w:t xml:space="preserve">définition </w:t>
      </w:r>
      <w:r>
        <w:t xml:space="preserve">du </w:t>
      </w:r>
      <w:r w:rsidRPr="00B67098">
        <w:t>système international d</w:t>
      </w:r>
      <w:r>
        <w:t xml:space="preserve">es principales </w:t>
      </w:r>
      <w:r w:rsidRPr="00B67098">
        <w:t xml:space="preserve">unités </w:t>
      </w:r>
      <w:r>
        <w:t>de mesure introduit en 2019 et détachée</w:t>
      </w:r>
      <w:r w:rsidRPr="00B67098">
        <w:t xml:space="preserve"> de toute valeur culturelle</w:t>
      </w:r>
      <w:r>
        <w:t xml:space="preserve"> et </w:t>
      </w:r>
      <w:r w:rsidRPr="00B67098">
        <w:t>de toute emprise politique</w:t>
      </w:r>
      <w:r>
        <w:t xml:space="preserve"> </w:t>
      </w:r>
      <w:r w:rsidRPr="00B67098">
        <w:t>(</w:t>
      </w:r>
      <w:r>
        <w:t>p. 48-</w:t>
      </w:r>
      <w:r w:rsidRPr="00B67098">
        <w:t>49)</w:t>
      </w:r>
      <w:r>
        <w:t xml:space="preserve">. </w:t>
      </w:r>
    </w:p>
    <w:p w14:paraId="76EA0DEA" w14:textId="77777777" w:rsidR="00765D7E" w:rsidRDefault="00765D7E" w:rsidP="009C4C92">
      <w:pPr>
        <w:pStyle w:val="Corps"/>
      </w:pPr>
      <w:r>
        <w:t>Retenant l’exemple de la Grande-Bretagne, l’auteur nuance la force de la « </w:t>
      </w:r>
      <w:r w:rsidRPr="00B67098">
        <w:t>dynamique de la quantification</w:t>
      </w:r>
      <w:r>
        <w:t> » qui associe « </w:t>
      </w:r>
      <w:r w:rsidRPr="00B67098">
        <w:t>compter</w:t>
      </w:r>
      <w:r>
        <w:t xml:space="preserve">, </w:t>
      </w:r>
      <w:r w:rsidRPr="00B67098">
        <w:t>décri</w:t>
      </w:r>
      <w:r>
        <w:t>re et</w:t>
      </w:r>
      <w:r w:rsidRPr="00B67098">
        <w:t xml:space="preserve"> comparer</w:t>
      </w:r>
      <w:r>
        <w:t> »</w:t>
      </w:r>
      <w:r w:rsidRPr="00B67098">
        <w:t xml:space="preserve"> </w:t>
      </w:r>
      <w:r>
        <w:t>à</w:t>
      </w:r>
      <w:r w:rsidRPr="00B67098">
        <w:t xml:space="preserve"> l’exercice du pouvoir</w:t>
      </w:r>
      <w:r>
        <w:t xml:space="preserve"> à partir </w:t>
      </w:r>
      <w:r w:rsidRPr="00B67098">
        <w:t>du XVIII</w:t>
      </w:r>
      <w:r w:rsidRPr="00DF68BB">
        <w:rPr>
          <w:vertAlign w:val="superscript"/>
        </w:rPr>
        <w:t>e</w:t>
      </w:r>
      <w:r w:rsidRPr="00B67098">
        <w:t xml:space="preserve"> </w:t>
      </w:r>
      <w:r>
        <w:t>siècle. Les réticences des britanniques à l’égard d</w:t>
      </w:r>
      <w:r w:rsidRPr="00B67098">
        <w:t xml:space="preserve">es recensements </w:t>
      </w:r>
      <w:r>
        <w:t>et de</w:t>
      </w:r>
      <w:r w:rsidRPr="00B67098">
        <w:t xml:space="preserve"> l’état civil</w:t>
      </w:r>
      <w:r>
        <w:t>,</w:t>
      </w:r>
      <w:r w:rsidRPr="00B67098">
        <w:t xml:space="preserve"> </w:t>
      </w:r>
      <w:r>
        <w:t>censés bafouer</w:t>
      </w:r>
      <w:r w:rsidRPr="00B67098">
        <w:t xml:space="preserve"> les libertés </w:t>
      </w:r>
      <w:r>
        <w:t>individuelles, conduit en effet à favoriser le calcul (« </w:t>
      </w:r>
      <w:r w:rsidRPr="00B67098">
        <w:t>l’arithmétique politique</w:t>
      </w:r>
      <w:r>
        <w:t xml:space="preserve"> ») plutôt que le dénombrement pour « mesurer » la population. Partout cependant, « l’esprit de calcul » </w:t>
      </w:r>
      <w:r w:rsidRPr="00B67098">
        <w:t xml:space="preserve">triomphe </w:t>
      </w:r>
      <w:r>
        <w:t xml:space="preserve">(p. </w:t>
      </w:r>
      <w:r w:rsidRPr="00B67098">
        <w:t>80</w:t>
      </w:r>
      <w:r>
        <w:t>). Des ‘modèles nationaux’ se dessinent au cours du XVIII</w:t>
      </w:r>
      <w:r w:rsidRPr="00BF2EFF">
        <w:rPr>
          <w:vertAlign w:val="superscript"/>
        </w:rPr>
        <w:t>e</w:t>
      </w:r>
      <w:r>
        <w:t xml:space="preserve"> siècle : </w:t>
      </w:r>
      <w:r w:rsidRPr="00B67098">
        <w:t>statistiques descriptives</w:t>
      </w:r>
      <w:r>
        <w:t>,</w:t>
      </w:r>
      <w:r w:rsidRPr="00B67098">
        <w:t xml:space="preserve"> nomenclatures</w:t>
      </w:r>
      <w:r>
        <w:t>,</w:t>
      </w:r>
      <w:r w:rsidRPr="00B67098">
        <w:t xml:space="preserve"> comparaison des données</w:t>
      </w:r>
      <w:r>
        <w:t>, pour l’</w:t>
      </w:r>
      <w:r w:rsidRPr="00B67098">
        <w:t xml:space="preserve">approche </w:t>
      </w:r>
      <w:r>
        <w:lastRenderedPageBreak/>
        <w:t xml:space="preserve">monographique allemande ; recensements </w:t>
      </w:r>
      <w:r w:rsidRPr="00B67098">
        <w:t xml:space="preserve">et descriptions </w:t>
      </w:r>
      <w:r>
        <w:t>à</w:t>
      </w:r>
      <w:r w:rsidRPr="00B67098">
        <w:t xml:space="preserve"> des fins administratives et comptables</w:t>
      </w:r>
      <w:r>
        <w:t xml:space="preserve"> pour l’</w:t>
      </w:r>
      <w:r w:rsidRPr="00B67098">
        <w:t>approche française</w:t>
      </w:r>
      <w:r>
        <w:t xml:space="preserve"> ; </w:t>
      </w:r>
      <w:r w:rsidRPr="00B67098">
        <w:t>analyse mathématique</w:t>
      </w:r>
      <w:r>
        <w:t xml:space="preserve"> des données quantitatives pour l’approche</w:t>
      </w:r>
      <w:r w:rsidRPr="00B67098">
        <w:t xml:space="preserve"> anglaise</w:t>
      </w:r>
      <w:r>
        <w:t xml:space="preserve">. </w:t>
      </w:r>
    </w:p>
    <w:p w14:paraId="0C24B396" w14:textId="77777777" w:rsidR="00765D7E" w:rsidRDefault="00765D7E" w:rsidP="009C4C92">
      <w:pPr>
        <w:pStyle w:val="Corps"/>
      </w:pPr>
      <w:r>
        <w:t>Olivier Martin rappelle que ce n’est qu’après le XVII</w:t>
      </w:r>
      <w:r w:rsidRPr="004A1F4C">
        <w:rPr>
          <w:vertAlign w:val="superscript"/>
        </w:rPr>
        <w:t>e</w:t>
      </w:r>
      <w:r>
        <w:t xml:space="preserve"> siècle que la </w:t>
      </w:r>
      <w:r w:rsidRPr="00B67098">
        <w:t>précision se substitue</w:t>
      </w:r>
      <w:r>
        <w:t xml:space="preserve"> « </w:t>
      </w:r>
      <w:r w:rsidRPr="00B67098">
        <w:t>à l’à-peu-près</w:t>
      </w:r>
      <w:r>
        <w:t> », reprenant la thèse d’Alexandre Koyré, dont l’ouvrage (</w:t>
      </w:r>
      <w:r w:rsidRPr="007674C1">
        <w:rPr>
          <w:i/>
        </w:rPr>
        <w:t>L’exactitude se substitue au monde de l’à peu près</w:t>
      </w:r>
      <w:r>
        <w:t>, publié en</w:t>
      </w:r>
      <w:r w:rsidRPr="00B67098">
        <w:t xml:space="preserve"> 1971</w:t>
      </w:r>
      <w:r>
        <w:t>) est cité deux fois (p. 113 et 117). La « </w:t>
      </w:r>
      <w:r w:rsidRPr="00B67098">
        <w:t>révolution quantitative</w:t>
      </w:r>
      <w:r>
        <w:t> » soude les communautés savantes autour d</w:t>
      </w:r>
      <w:r w:rsidRPr="00B67098">
        <w:t>e</w:t>
      </w:r>
      <w:r>
        <w:t xml:space="preserve"> la</w:t>
      </w:r>
      <w:r w:rsidRPr="00B67098">
        <w:t xml:space="preserve"> rhétorique </w:t>
      </w:r>
      <w:r>
        <w:t xml:space="preserve">de </w:t>
      </w:r>
      <w:r w:rsidRPr="00B67098">
        <w:t>l’observation</w:t>
      </w:r>
      <w:r>
        <w:t xml:space="preserve">, de </w:t>
      </w:r>
      <w:r w:rsidRPr="00B67098">
        <w:t>la mesure</w:t>
      </w:r>
      <w:r>
        <w:t xml:space="preserve"> et de </w:t>
      </w:r>
      <w:r w:rsidRPr="00B67098">
        <w:t>l’expérimentation</w:t>
      </w:r>
      <w:r>
        <w:t xml:space="preserve">. La convergence des </w:t>
      </w:r>
      <w:r w:rsidRPr="00B67098">
        <w:t xml:space="preserve">pratiques savantes </w:t>
      </w:r>
      <w:r>
        <w:t>et</w:t>
      </w:r>
      <w:r w:rsidRPr="00B67098">
        <w:t xml:space="preserve"> profanes </w:t>
      </w:r>
      <w:r>
        <w:t>conduit ensuite à bâtir un « </w:t>
      </w:r>
      <w:r w:rsidRPr="00B67098">
        <w:t>monde mesuré</w:t>
      </w:r>
      <w:r>
        <w:t> » (</w:t>
      </w:r>
      <w:r w:rsidRPr="00B67098">
        <w:t>p</w:t>
      </w:r>
      <w:r>
        <w:t>. </w:t>
      </w:r>
      <w:r w:rsidRPr="00B67098">
        <w:t>122</w:t>
      </w:r>
      <w:r>
        <w:t xml:space="preserve">) et à penser l’univers « comme un tout ». L’auteur décrit la diffusion de la </w:t>
      </w:r>
      <w:r w:rsidRPr="00B67098">
        <w:t>math</w:t>
      </w:r>
      <w:r>
        <w:t>ématique</w:t>
      </w:r>
      <w:r w:rsidRPr="00B67098">
        <w:t xml:space="preserve"> savante </w:t>
      </w:r>
      <w:r>
        <w:t xml:space="preserve">dans l’arène marchande et dans le champ scientifique, précisant que cette diffusion profite de l’essor de </w:t>
      </w:r>
      <w:r w:rsidRPr="00B67098">
        <w:t>l’imprimerie</w:t>
      </w:r>
      <w:r>
        <w:t xml:space="preserve"> (XIV</w:t>
      </w:r>
      <w:r w:rsidRPr="00002B3D">
        <w:rPr>
          <w:vertAlign w:val="superscript"/>
        </w:rPr>
        <w:t>e</w:t>
      </w:r>
      <w:r w:rsidRPr="00B67098">
        <w:t xml:space="preserve"> s</w:t>
      </w:r>
      <w:r>
        <w:t xml:space="preserve">iècle) puis de l’essor de </w:t>
      </w:r>
      <w:r w:rsidRPr="00B67098">
        <w:t xml:space="preserve">l’industrie des machines </w:t>
      </w:r>
      <w:r>
        <w:t xml:space="preserve">reliant les </w:t>
      </w:r>
      <w:r w:rsidRPr="00B67098">
        <w:t>science</w:t>
      </w:r>
      <w:r>
        <w:t>s</w:t>
      </w:r>
      <w:r w:rsidRPr="00B67098">
        <w:t xml:space="preserve"> et </w:t>
      </w:r>
      <w:r>
        <w:t xml:space="preserve">les </w:t>
      </w:r>
      <w:r w:rsidRPr="00B67098">
        <w:t>technique</w:t>
      </w:r>
      <w:r>
        <w:t>s</w:t>
      </w:r>
      <w:r w:rsidRPr="00B67098">
        <w:t xml:space="preserve"> </w:t>
      </w:r>
      <w:r>
        <w:t>(XIX</w:t>
      </w:r>
      <w:r w:rsidRPr="00002B3D">
        <w:rPr>
          <w:vertAlign w:val="superscript"/>
        </w:rPr>
        <w:t>e</w:t>
      </w:r>
      <w:r>
        <w:t xml:space="preserve"> siècle) (p. 124-</w:t>
      </w:r>
      <w:r w:rsidRPr="00B67098">
        <w:t>125</w:t>
      </w:r>
      <w:r>
        <w:t xml:space="preserve">). </w:t>
      </w:r>
    </w:p>
    <w:p w14:paraId="770A326B" w14:textId="77777777" w:rsidR="00765D7E" w:rsidRPr="008D0A89" w:rsidRDefault="00765D7E" w:rsidP="009C4C92">
      <w:pPr>
        <w:pStyle w:val="VDIIntertitre"/>
      </w:pPr>
      <w:r w:rsidRPr="008D0A89">
        <w:t xml:space="preserve">Le siècle des échelles </w:t>
      </w:r>
    </w:p>
    <w:p w14:paraId="5D3D2429" w14:textId="4721A23F" w:rsidR="00765D7E" w:rsidRDefault="00765D7E" w:rsidP="009C4C92">
      <w:pPr>
        <w:pStyle w:val="Corps"/>
      </w:pPr>
      <w:r>
        <w:t xml:space="preserve">Les passages consacrés </w:t>
      </w:r>
      <w:r w:rsidRPr="00D75F81">
        <w:t xml:space="preserve">au </w:t>
      </w:r>
      <w:r>
        <w:t>XX</w:t>
      </w:r>
      <w:r w:rsidRPr="00D670B8">
        <w:rPr>
          <w:vertAlign w:val="superscript"/>
        </w:rPr>
        <w:t>e</w:t>
      </w:r>
      <w:r>
        <w:t xml:space="preserve"> siècle, le siècle des « échelles » permettant d’agréger et de penser « </w:t>
      </w:r>
      <w:r w:rsidRPr="00B67098">
        <w:t xml:space="preserve">toutes les grandeurs </w:t>
      </w:r>
      <w:r>
        <w:t xml:space="preserve">comme </w:t>
      </w:r>
      <w:proofErr w:type="spellStart"/>
      <w:r>
        <w:t>échelo</w:t>
      </w:r>
      <w:r w:rsidRPr="00B67098">
        <w:t>n</w:t>
      </w:r>
      <w:r>
        <w:t>n</w:t>
      </w:r>
      <w:r w:rsidRPr="00B67098">
        <w:t>able</w:t>
      </w:r>
      <w:r>
        <w:t>s</w:t>
      </w:r>
      <w:proofErr w:type="spellEnd"/>
      <w:r>
        <w:t> », (p. </w:t>
      </w:r>
      <w:r w:rsidRPr="00B67098">
        <w:t>137</w:t>
      </w:r>
      <w:r>
        <w:t>), me paraissent les plus nouveaux. Avec ces échelles, la mesure ne sert plus à « </w:t>
      </w:r>
      <w:r w:rsidRPr="00B67098">
        <w:t>identifier des valeurs numériques inscrites dans la nature des choses</w:t>
      </w:r>
      <w:r>
        <w:t> »</w:t>
      </w:r>
      <w:r w:rsidR="008E55C2">
        <w:t>,</w:t>
      </w:r>
      <w:r>
        <w:t xml:space="preserve"> mais elle permet de « </w:t>
      </w:r>
      <w:r w:rsidRPr="00B67098">
        <w:t xml:space="preserve">représenter </w:t>
      </w:r>
      <w:r>
        <w:t>certaines</w:t>
      </w:r>
      <w:r w:rsidRPr="00B67098">
        <w:t xml:space="preserve"> propriétés empiriques par des nombres</w:t>
      </w:r>
      <w:r>
        <w:t> » (p. </w:t>
      </w:r>
      <w:r w:rsidRPr="00B67098">
        <w:t>134</w:t>
      </w:r>
      <w:r>
        <w:t xml:space="preserve">). Olivier Martin détaille l’exemple de </w:t>
      </w:r>
      <w:r w:rsidRPr="00B67098">
        <w:t>la mesure des traits psychiques</w:t>
      </w:r>
      <w:r>
        <w:t xml:space="preserve"> à partir des p</w:t>
      </w:r>
      <w:r w:rsidRPr="00B67098">
        <w:t xml:space="preserve">remiers tests d’intelligence </w:t>
      </w:r>
      <w:r>
        <w:t xml:space="preserve">du psychologue français Alfred </w:t>
      </w:r>
      <w:r w:rsidRPr="00B67098">
        <w:t xml:space="preserve">Binet </w:t>
      </w:r>
      <w:r>
        <w:t>à</w:t>
      </w:r>
      <w:r w:rsidRPr="00B67098">
        <w:t xml:space="preserve"> </w:t>
      </w:r>
      <w:r>
        <w:t>la fin du XIX</w:t>
      </w:r>
      <w:r w:rsidRPr="00D61297">
        <w:rPr>
          <w:vertAlign w:val="superscript"/>
        </w:rPr>
        <w:t>e</w:t>
      </w:r>
      <w:r>
        <w:t xml:space="preserve"> siècle (p. </w:t>
      </w:r>
      <w:r w:rsidRPr="00B67098">
        <w:t>140</w:t>
      </w:r>
      <w:r>
        <w:t>). La méthode</w:t>
      </w:r>
      <w:r w:rsidRPr="00B67098">
        <w:t xml:space="preserve"> </w:t>
      </w:r>
      <w:r>
        <w:t>rencontre un vif succès</w:t>
      </w:r>
      <w:r w:rsidRPr="00B67098">
        <w:t xml:space="preserve"> aux </w:t>
      </w:r>
      <w:r>
        <w:t xml:space="preserve">États-Unis où à la différence de la France, les tests vont servir à mesurer l’intelligence. Comportant plus d’épreuves que le test français, le test américain s’interprète de façon automatique et </w:t>
      </w:r>
      <w:r w:rsidRPr="00B67098">
        <w:t xml:space="preserve">binaire </w:t>
      </w:r>
      <w:r>
        <w:t>(</w:t>
      </w:r>
      <w:r w:rsidRPr="00B67098">
        <w:t>succès ou échec</w:t>
      </w:r>
      <w:r>
        <w:t>, 1 ou 0</w:t>
      </w:r>
      <w:r w:rsidRPr="00B67098">
        <w:t xml:space="preserve"> point</w:t>
      </w:r>
      <w:r>
        <w:t xml:space="preserve">). </w:t>
      </w:r>
      <w:r w:rsidR="008E55C2">
        <w:t>À</w:t>
      </w:r>
      <w:r>
        <w:t xml:space="preserve"> partir de 1916, son résultat </w:t>
      </w:r>
      <w:r w:rsidRPr="00B67098">
        <w:t xml:space="preserve">final </w:t>
      </w:r>
      <w:r>
        <w:t>est censé indiquer le</w:t>
      </w:r>
      <w:r w:rsidRPr="00B67098">
        <w:t xml:space="preserve"> niveau d’intelligence </w:t>
      </w:r>
      <w:r>
        <w:t>(p. </w:t>
      </w:r>
      <w:r w:rsidRPr="00B67098">
        <w:t>142</w:t>
      </w:r>
      <w:r>
        <w:t xml:space="preserve">) plus connu sous la forme de QI (le fameux coefficient intellectuel). L’auteur précise que « la </w:t>
      </w:r>
      <w:r w:rsidRPr="00B67098">
        <w:t xml:space="preserve">conception unidimensionnelle et quantitative de l’intelligence </w:t>
      </w:r>
      <w:r>
        <w:t xml:space="preserve">retenue par les </w:t>
      </w:r>
      <w:r w:rsidR="008E55C2">
        <w:t>Nord-A</w:t>
      </w:r>
      <w:r>
        <w:t xml:space="preserve">méricains » condamne les « résistances de </w:t>
      </w:r>
      <w:r w:rsidRPr="00B67098">
        <w:t>Binet</w:t>
      </w:r>
      <w:r>
        <w:t> »</w:t>
      </w:r>
      <w:r w:rsidRPr="00B67098">
        <w:t xml:space="preserve"> </w:t>
      </w:r>
      <w:r>
        <w:t>à l’encontre de « toute</w:t>
      </w:r>
      <w:r w:rsidRPr="00B67098">
        <w:t xml:space="preserve"> mesure </w:t>
      </w:r>
      <w:r>
        <w:t>du</w:t>
      </w:r>
      <w:r w:rsidRPr="00B67098">
        <w:t xml:space="preserve"> niveau d’intelligence</w:t>
      </w:r>
      <w:r>
        <w:t> » et de « toute hiérarchisation des individus ». La banalisation des tests aux États-Unis dans les années 1920 annonce le développement des</w:t>
      </w:r>
      <w:r w:rsidRPr="007066D5">
        <w:t xml:space="preserve"> </w:t>
      </w:r>
      <w:r>
        <w:t>é</w:t>
      </w:r>
      <w:r w:rsidRPr="00B67098">
        <w:t>chelles psychométriques en psychologie</w:t>
      </w:r>
      <w:r>
        <w:t>, conduisant à la me</w:t>
      </w:r>
      <w:r w:rsidRPr="00B67098">
        <w:t xml:space="preserve">sure de la dépression </w:t>
      </w:r>
      <w:r>
        <w:t>(p. </w:t>
      </w:r>
      <w:r w:rsidRPr="00B67098">
        <w:t>144</w:t>
      </w:r>
      <w:r>
        <w:t>) ou</w:t>
      </w:r>
      <w:r w:rsidRPr="00B67098">
        <w:t xml:space="preserve"> des pratiques addictives </w:t>
      </w:r>
      <w:r>
        <w:t>(p. </w:t>
      </w:r>
      <w:r w:rsidRPr="00B67098">
        <w:t>145</w:t>
      </w:r>
      <w:r>
        <w:t xml:space="preserve">). Pour l’auteur, « la généralisation des échelles en médecine </w:t>
      </w:r>
      <w:r w:rsidRPr="007066D5">
        <w:t>c</w:t>
      </w:r>
      <w:r>
        <w:t>ontribue,</w:t>
      </w:r>
      <w:r w:rsidRPr="00B67098">
        <w:t xml:space="preserve"> avec les données statistiques d’État </w:t>
      </w:r>
      <w:r w:rsidRPr="00B67098">
        <w:lastRenderedPageBreak/>
        <w:t>et les enquêtes spécifiques</w:t>
      </w:r>
      <w:r>
        <w:t>,</w:t>
      </w:r>
      <w:r w:rsidRPr="00B67098">
        <w:t xml:space="preserve"> </w:t>
      </w:r>
      <w:r>
        <w:t>à</w:t>
      </w:r>
      <w:r w:rsidRPr="00B67098">
        <w:t xml:space="preserve"> faire entrer les démarches quantitatives dans les sc</w:t>
      </w:r>
      <w:r>
        <w:t>iences humaine</w:t>
      </w:r>
      <w:r w:rsidRPr="00B67098">
        <w:t>s</w:t>
      </w:r>
      <w:r>
        <w:t xml:space="preserve"> </w:t>
      </w:r>
      <w:r w:rsidRPr="00B67098">
        <w:t>et sociales</w:t>
      </w:r>
      <w:r>
        <w:t> » (p. </w:t>
      </w:r>
      <w:r w:rsidRPr="00B67098">
        <w:t>146</w:t>
      </w:r>
      <w:r>
        <w:t xml:space="preserve">). </w:t>
      </w:r>
    </w:p>
    <w:p w14:paraId="0DA12B50" w14:textId="77777777" w:rsidR="00765D7E" w:rsidRDefault="00765D7E" w:rsidP="009C4C92">
      <w:pPr>
        <w:pStyle w:val="Corps"/>
      </w:pPr>
      <w:r>
        <w:t>L</w:t>
      </w:r>
      <w:r w:rsidRPr="00C13C62">
        <w:t>es</w:t>
      </w:r>
      <w:r>
        <w:t xml:space="preserve"> méfaits de la généralisation des i</w:t>
      </w:r>
      <w:r w:rsidRPr="00B67098">
        <w:t xml:space="preserve">ndicateurs </w:t>
      </w:r>
      <w:r>
        <w:t>mobilisés dans un but performatif (p. </w:t>
      </w:r>
      <w:r w:rsidRPr="00B67098">
        <w:t>149</w:t>
      </w:r>
      <w:r>
        <w:t xml:space="preserve">) sont également dénoncés. Olivier Martin explique le succès de ces indicateurs par </w:t>
      </w:r>
      <w:r w:rsidRPr="00B67098">
        <w:t xml:space="preserve">les transformations de l’État </w:t>
      </w:r>
      <w:r>
        <w:t>qui s’</w:t>
      </w:r>
      <w:r w:rsidRPr="00B67098">
        <w:t xml:space="preserve">affiche </w:t>
      </w:r>
      <w:r>
        <w:t>en « problème » et cherche « </w:t>
      </w:r>
      <w:r w:rsidRPr="00B67098">
        <w:t xml:space="preserve">des principes de gestion rationnels </w:t>
      </w:r>
      <w:r>
        <w:t>pour</w:t>
      </w:r>
      <w:r w:rsidRPr="00B67098">
        <w:t xml:space="preserve"> rendre compte de </w:t>
      </w:r>
      <w:r>
        <w:t xml:space="preserve">son </w:t>
      </w:r>
      <w:r w:rsidRPr="00B67098">
        <w:t>action</w:t>
      </w:r>
      <w:r>
        <w:t xml:space="preserve">, la comparer à celle </w:t>
      </w:r>
      <w:r w:rsidRPr="00B67098">
        <w:t xml:space="preserve">d’autres pays européens </w:t>
      </w:r>
      <w:r>
        <w:t xml:space="preserve">et </w:t>
      </w:r>
      <w:r w:rsidRPr="00B67098">
        <w:t>juguler les défici</w:t>
      </w:r>
      <w:r>
        <w:t>ts publics »</w:t>
      </w:r>
      <w:r w:rsidRPr="008B67D2">
        <w:t xml:space="preserve"> </w:t>
      </w:r>
      <w:r>
        <w:t>depuis les années 1960 et plus encore 1970. On peut regretter qu’il n’évoque pas la rationalisation des choix budgétaires, dont les mécanismes jouent aussi avec la mesure, alors qu’il décrit le « </w:t>
      </w:r>
      <w:r w:rsidRPr="00B67098">
        <w:t>puzzle doctrinal</w:t>
      </w:r>
      <w:r>
        <w:t xml:space="preserve"> » du </w:t>
      </w:r>
      <w:r w:rsidRPr="00555BD9">
        <w:rPr>
          <w:i/>
        </w:rPr>
        <w:t>New Public Management</w:t>
      </w:r>
      <w:r>
        <w:t xml:space="preserve"> (p. </w:t>
      </w:r>
      <w:r w:rsidRPr="00B67098">
        <w:t>151</w:t>
      </w:r>
      <w:r>
        <w:t>) qui « fragmente</w:t>
      </w:r>
      <w:r w:rsidRPr="00B67098">
        <w:t xml:space="preserve"> l’administration en </w:t>
      </w:r>
      <w:r>
        <w:t>unités autonom</w:t>
      </w:r>
      <w:r w:rsidRPr="00B67098">
        <w:t>es</w:t>
      </w:r>
      <w:r>
        <w:t>, introduit</w:t>
      </w:r>
      <w:r w:rsidRPr="00B67098">
        <w:t xml:space="preserve"> des outils de gestion par les résultats et mesure </w:t>
      </w:r>
      <w:r>
        <w:t>l</w:t>
      </w:r>
      <w:r w:rsidRPr="00B67098">
        <w:t xml:space="preserve">es performances </w:t>
      </w:r>
      <w:r>
        <w:t xml:space="preserve">suivant le </w:t>
      </w:r>
      <w:r w:rsidRPr="00B67098">
        <w:t>modèle de l’entreprise</w:t>
      </w:r>
      <w:r>
        <w:t> »</w:t>
      </w:r>
      <w:r w:rsidRPr="00B67098">
        <w:t xml:space="preserve"> </w:t>
      </w:r>
      <w:r>
        <w:t>(p. </w:t>
      </w:r>
      <w:r w:rsidRPr="00B67098">
        <w:t>152</w:t>
      </w:r>
      <w:r>
        <w:t>) et généralise « la</w:t>
      </w:r>
      <w:r w:rsidRPr="00B67098">
        <w:t xml:space="preserve"> compétition chiffrée</w:t>
      </w:r>
      <w:r>
        <w:t> »</w:t>
      </w:r>
      <w:r w:rsidRPr="00B67098">
        <w:t xml:space="preserve"> </w:t>
      </w:r>
      <w:r>
        <w:t>(p. </w:t>
      </w:r>
      <w:r w:rsidRPr="00B67098">
        <w:t>162</w:t>
      </w:r>
      <w:r>
        <w:t xml:space="preserve">). </w:t>
      </w:r>
    </w:p>
    <w:p w14:paraId="7B075D8C" w14:textId="77777777" w:rsidR="00765D7E" w:rsidRPr="006B2C34" w:rsidRDefault="00765D7E" w:rsidP="009C4C92">
      <w:pPr>
        <w:pStyle w:val="VDIIntertitre"/>
      </w:pPr>
      <w:r w:rsidRPr="006B2C34">
        <w:t xml:space="preserve">Approche transversale </w:t>
      </w:r>
    </w:p>
    <w:p w14:paraId="649CBA9E" w14:textId="07FBA42A" w:rsidR="00765D7E" w:rsidRDefault="00765D7E" w:rsidP="009C4C92">
      <w:pPr>
        <w:pStyle w:val="Corps"/>
      </w:pPr>
      <w:r>
        <w:t>La seconde p</w:t>
      </w:r>
      <w:r w:rsidRPr="00B67098">
        <w:t xml:space="preserve">artie </w:t>
      </w:r>
      <w:r>
        <w:t>de l’ouvrage tire le bilan des enseignements de</w:t>
      </w:r>
      <w:r w:rsidRPr="00B67098">
        <w:t>s enquêtes</w:t>
      </w:r>
      <w:r>
        <w:t xml:space="preserve"> </w:t>
      </w:r>
      <w:r>
        <w:rPr>
          <w:rFonts w:hint="eastAsia"/>
          <w:lang w:eastAsia="ja-JP"/>
        </w:rPr>
        <w:t>pré</w:t>
      </w:r>
      <w:r>
        <w:rPr>
          <w:lang w:eastAsia="ja-JP"/>
        </w:rPr>
        <w:t>sentées</w:t>
      </w:r>
      <w:r>
        <w:t xml:space="preserve">. Il montre en quoi la </w:t>
      </w:r>
      <w:r w:rsidRPr="00B83F58">
        <w:t>quantification est un fait social</w:t>
      </w:r>
      <w:r>
        <w:t>. R</w:t>
      </w:r>
      <w:r w:rsidRPr="00B83F58">
        <w:t>ien de nouveau</w:t>
      </w:r>
      <w:r>
        <w:t>,</w:t>
      </w:r>
      <w:r w:rsidRPr="00B83F58">
        <w:t xml:space="preserve"> mais une bonne synthèse</w:t>
      </w:r>
      <w:r>
        <w:t xml:space="preserve"> dont on peut retenir</w:t>
      </w:r>
      <w:r w:rsidRPr="00B83F58">
        <w:t xml:space="preserve"> </w:t>
      </w:r>
      <w:r>
        <w:t>quelques</w:t>
      </w:r>
      <w:r w:rsidRPr="00B83F58">
        <w:t xml:space="preserve"> enseignements majeurs</w:t>
      </w:r>
      <w:r>
        <w:t xml:space="preserve"> : </w:t>
      </w:r>
      <w:r w:rsidRPr="00B83F58">
        <w:t>les pratiques</w:t>
      </w:r>
      <w:r w:rsidRPr="00B67098">
        <w:t xml:space="preserve"> de mesure</w:t>
      </w:r>
      <w:r>
        <w:t xml:space="preserve"> ne sont pas naturelles, même si « l</w:t>
      </w:r>
      <w:r w:rsidRPr="00B67098">
        <w:t>e besoin de quantifier est probablement universel</w:t>
      </w:r>
      <w:r>
        <w:t> »,</w:t>
      </w:r>
      <w:r w:rsidRPr="00B67098">
        <w:t xml:space="preserve"> </w:t>
      </w:r>
      <w:r>
        <w:t>l</w:t>
      </w:r>
      <w:r w:rsidRPr="00B67098">
        <w:t xml:space="preserve">a </w:t>
      </w:r>
      <w:r>
        <w:t>« </w:t>
      </w:r>
      <w:r w:rsidRPr="00B67098">
        <w:t>façon de répondre est très variable</w:t>
      </w:r>
      <w:r>
        <w:t> »</w:t>
      </w:r>
      <w:r w:rsidRPr="00B67098">
        <w:t xml:space="preserve"> </w:t>
      </w:r>
      <w:r>
        <w:t>(p. </w:t>
      </w:r>
      <w:r w:rsidRPr="00B67098">
        <w:t>180</w:t>
      </w:r>
      <w:r>
        <w:t>) ; mesurer et quantifier participent d’une même action (« </w:t>
      </w:r>
      <w:r w:rsidRPr="00B67098">
        <w:t xml:space="preserve">mettre en chiffre ce que les mots qualifiaient </w:t>
      </w:r>
      <w:r>
        <w:t xml:space="preserve">déjà »), mêlant conventions et pouvoir, </w:t>
      </w:r>
      <w:r w:rsidRPr="00B67098">
        <w:t>pratiques et techniques</w:t>
      </w:r>
      <w:r>
        <w:t xml:space="preserve"> </w:t>
      </w:r>
      <w:r w:rsidRPr="00B67098">
        <w:t>d’enregistrement</w:t>
      </w:r>
      <w:r>
        <w:t xml:space="preserve">, de </w:t>
      </w:r>
      <w:r w:rsidRPr="00B67098">
        <w:t xml:space="preserve">conservation et </w:t>
      </w:r>
      <w:r>
        <w:t xml:space="preserve">de </w:t>
      </w:r>
      <w:r w:rsidRPr="00B67098">
        <w:t>communicatio</w:t>
      </w:r>
      <w:r>
        <w:t>n</w:t>
      </w:r>
      <w:r>
        <w:rPr>
          <w:rStyle w:val="Appelnotedebasdep"/>
        </w:rPr>
        <w:footnoteReference w:id="4"/>
      </w:r>
      <w:r>
        <w:t xml:space="preserve"> (p. </w:t>
      </w:r>
      <w:r w:rsidRPr="00B67098">
        <w:t>184</w:t>
      </w:r>
      <w:r>
        <w:t>) ; les changements techniques</w:t>
      </w:r>
      <w:r w:rsidRPr="00B67098">
        <w:t xml:space="preserve"> </w:t>
      </w:r>
      <w:r>
        <w:t xml:space="preserve">ne sont que </w:t>
      </w:r>
      <w:r w:rsidRPr="00B67098">
        <w:t>des réponse</w:t>
      </w:r>
      <w:r>
        <w:t>s</w:t>
      </w:r>
      <w:r w:rsidRPr="00B67098">
        <w:t xml:space="preserve"> </w:t>
      </w:r>
      <w:r>
        <w:t>à</w:t>
      </w:r>
      <w:r w:rsidRPr="00B67098">
        <w:t xml:space="preserve"> des p</w:t>
      </w:r>
      <w:r>
        <w:t>ro</w:t>
      </w:r>
      <w:r w:rsidRPr="00B67098">
        <w:t>b</w:t>
      </w:r>
      <w:r>
        <w:t>lèmes organisationnels, la quantification prend racine à une échelle locale</w:t>
      </w:r>
      <w:r w:rsidRPr="00B67098">
        <w:t xml:space="preserve"> puis</w:t>
      </w:r>
      <w:r>
        <w:t xml:space="preserve"> se généralise</w:t>
      </w:r>
      <w:r w:rsidRPr="00B67098">
        <w:t xml:space="preserve"> </w:t>
      </w:r>
      <w:r>
        <w:t>(p.</w:t>
      </w:r>
      <w:r w:rsidR="009C4C92">
        <w:t> </w:t>
      </w:r>
      <w:r w:rsidRPr="00B67098">
        <w:t>189</w:t>
      </w:r>
      <w:r>
        <w:t>). Elle</w:t>
      </w:r>
      <w:r w:rsidRPr="00B67098">
        <w:t xml:space="preserve"> </w:t>
      </w:r>
      <w:r>
        <w:t xml:space="preserve">acquiert </w:t>
      </w:r>
      <w:r w:rsidRPr="00B67098">
        <w:t>une autorité spécifique</w:t>
      </w:r>
      <w:r>
        <w:t xml:space="preserve"> et s’inscrit « dans le réel », alors qu’elle n’est qu’une construction. </w:t>
      </w:r>
    </w:p>
    <w:p w14:paraId="6BB03BDA" w14:textId="04B466DB" w:rsidR="00765D7E" w:rsidRPr="00B67098" w:rsidRDefault="00765D7E" w:rsidP="009C4C92">
      <w:pPr>
        <w:pStyle w:val="Corps"/>
      </w:pPr>
      <w:r>
        <w:t xml:space="preserve">Olivier Martin accorde une mention spéciale aux </w:t>
      </w:r>
      <w:r w:rsidRPr="00B67098">
        <w:t xml:space="preserve">algorithmes </w:t>
      </w:r>
      <w:r>
        <w:t>« </w:t>
      </w:r>
      <w:r w:rsidRPr="00B67098">
        <w:t>qui participent activement à l’avalanche des nombres</w:t>
      </w:r>
      <w:r>
        <w:t> »</w:t>
      </w:r>
      <w:r w:rsidR="008E55C2">
        <w:t>,</w:t>
      </w:r>
      <w:r>
        <w:t xml:space="preserve"> mais «</w:t>
      </w:r>
      <w:r w:rsidRPr="00B67098">
        <w:t xml:space="preserve"> sans que leur fonctionnement soit toujours bien connu ou discuté dans les arènes politiques représentatives</w:t>
      </w:r>
      <w:r>
        <w:t> ». Il invite ainsi à s’interroger sur le pouvoir inhérent à</w:t>
      </w:r>
      <w:r w:rsidRPr="00B67098">
        <w:t xml:space="preserve"> tout acte de quantification</w:t>
      </w:r>
      <w:r>
        <w:t xml:space="preserve"> (p. </w:t>
      </w:r>
      <w:r w:rsidRPr="00B67098">
        <w:t>194</w:t>
      </w:r>
      <w:r>
        <w:t xml:space="preserve">), </w:t>
      </w:r>
      <w:r>
        <w:lastRenderedPageBreak/>
        <w:t>renvoyant à de nombreuses luttes pour imposer l</w:t>
      </w:r>
      <w:r w:rsidRPr="00B67098">
        <w:t xml:space="preserve">es </w:t>
      </w:r>
      <w:r>
        <w:t>systèmes de mesure (p. </w:t>
      </w:r>
      <w:r w:rsidRPr="00B67098">
        <w:t>195</w:t>
      </w:r>
      <w:r>
        <w:t>),</w:t>
      </w:r>
      <w:r w:rsidRPr="00B67098">
        <w:t xml:space="preserve"> </w:t>
      </w:r>
      <w:r>
        <w:t>depuis celle du calendrier de la Révolution</w:t>
      </w:r>
      <w:r w:rsidRPr="00B67098">
        <w:t xml:space="preserve"> </w:t>
      </w:r>
      <w:r>
        <w:t>française (p. </w:t>
      </w:r>
      <w:r w:rsidRPr="00B67098">
        <w:t>197</w:t>
      </w:r>
      <w:r>
        <w:t>). Il invite aussi à réfléchir à « l</w:t>
      </w:r>
      <w:r w:rsidRPr="00B67098">
        <w:t>’apparent</w:t>
      </w:r>
      <w:r>
        <w:t>e</w:t>
      </w:r>
      <w:r w:rsidRPr="00B67098">
        <w:t xml:space="preserve"> neutralité de la mesure</w:t>
      </w:r>
      <w:r>
        <w:t> » qui</w:t>
      </w:r>
      <w:r w:rsidRPr="00B67098">
        <w:t xml:space="preserve"> lui permet d’échapper </w:t>
      </w:r>
      <w:r>
        <w:t>à</w:t>
      </w:r>
      <w:r w:rsidRPr="00B67098">
        <w:t xml:space="preserve"> toute </w:t>
      </w:r>
      <w:r>
        <w:t xml:space="preserve">mise en cause en dehors </w:t>
      </w:r>
      <w:r w:rsidRPr="00B67098">
        <w:t xml:space="preserve">des cercles de </w:t>
      </w:r>
      <w:r>
        <w:t>se</w:t>
      </w:r>
      <w:r w:rsidRPr="00B67098">
        <w:t>s concepteurs</w:t>
      </w:r>
      <w:r>
        <w:t xml:space="preserve">. </w:t>
      </w:r>
    </w:p>
    <w:p w14:paraId="62F50F15" w14:textId="3564A7AB" w:rsidR="00765D7E" w:rsidRDefault="00765D7E" w:rsidP="009C4C92">
      <w:pPr>
        <w:pStyle w:val="Corps"/>
      </w:pPr>
      <w:r>
        <w:t xml:space="preserve">L’auteur interroge également les raisons du succès de </w:t>
      </w:r>
      <w:r w:rsidRPr="00B67098">
        <w:t>la quantification</w:t>
      </w:r>
      <w:r>
        <w:t xml:space="preserve">, qui </w:t>
      </w:r>
      <w:r w:rsidRPr="00B67098">
        <w:t xml:space="preserve">n’est </w:t>
      </w:r>
      <w:r>
        <w:t>pourtant « ni</w:t>
      </w:r>
      <w:r w:rsidRPr="00B67098">
        <w:t xml:space="preserve"> une preuve de scientificité</w:t>
      </w:r>
      <w:r>
        <w:t>,</w:t>
      </w:r>
      <w:r w:rsidRPr="00B67098">
        <w:t xml:space="preserve"> ni même une connaissance nécessaire</w:t>
      </w:r>
      <w:r>
        <w:t> »</w:t>
      </w:r>
      <w:r w:rsidR="008E55C2">
        <w:t>,</w:t>
      </w:r>
      <w:r>
        <w:t xml:space="preserve"> mais qui s’impos</w:t>
      </w:r>
      <w:r w:rsidRPr="00B67098">
        <w:t>e au XIX</w:t>
      </w:r>
      <w:r w:rsidRPr="00E519F3">
        <w:rPr>
          <w:vertAlign w:val="superscript"/>
        </w:rPr>
        <w:t>e</w:t>
      </w:r>
      <w:r w:rsidRPr="00B67098">
        <w:t xml:space="preserve"> </w:t>
      </w:r>
      <w:r>
        <w:t>siècle (p. </w:t>
      </w:r>
      <w:r w:rsidRPr="00B67098">
        <w:t>208</w:t>
      </w:r>
      <w:r>
        <w:t>) lorsque le</w:t>
      </w:r>
      <w:r w:rsidRPr="00B67098">
        <w:t xml:space="preserve">s </w:t>
      </w:r>
      <w:r>
        <w:t>« </w:t>
      </w:r>
      <w:r w:rsidRPr="00B67098">
        <w:t>indicateurs de performance remplacent</w:t>
      </w:r>
      <w:r>
        <w:t> le</w:t>
      </w:r>
      <w:r w:rsidRPr="00B67098">
        <w:t xml:space="preserve"> jugement</w:t>
      </w:r>
      <w:r>
        <w:t> » (p. 209-</w:t>
      </w:r>
      <w:r w:rsidRPr="00B67098">
        <w:t>210</w:t>
      </w:r>
      <w:r>
        <w:t xml:space="preserve">). </w:t>
      </w:r>
      <w:r w:rsidRPr="00B67098">
        <w:t>L</w:t>
      </w:r>
      <w:r>
        <w:t xml:space="preserve">a </w:t>
      </w:r>
      <w:r w:rsidRPr="00B67098">
        <w:t>quantification a</w:t>
      </w:r>
      <w:r>
        <w:t xml:space="preserve">ffirme alors son </w:t>
      </w:r>
      <w:r w:rsidRPr="00B67098">
        <w:t>autorité d</w:t>
      </w:r>
      <w:r>
        <w:t>an</w:t>
      </w:r>
      <w:r w:rsidRPr="00B67098">
        <w:t>s l’arène politique et économique indépendamment d</w:t>
      </w:r>
      <w:r>
        <w:t xml:space="preserve">es transformations des sciences, faisant passer du </w:t>
      </w:r>
      <w:r w:rsidRPr="00B67098">
        <w:t xml:space="preserve">gouvernement </w:t>
      </w:r>
      <w:r>
        <w:t xml:space="preserve">par les lois au gouvernement </w:t>
      </w:r>
      <w:r w:rsidRPr="00B67098">
        <w:t xml:space="preserve">pas les nombres </w:t>
      </w:r>
      <w:r>
        <w:t>(p. 213-</w:t>
      </w:r>
      <w:r w:rsidRPr="00B67098">
        <w:t>215</w:t>
      </w:r>
      <w:r>
        <w:t xml:space="preserve">) et </w:t>
      </w:r>
      <w:r w:rsidRPr="00B67098">
        <w:t>subordonn</w:t>
      </w:r>
      <w:r>
        <w:t>ant les individus à des programmes qui ne sont pas</w:t>
      </w:r>
      <w:r w:rsidRPr="00B67098">
        <w:t xml:space="preserve"> d</w:t>
      </w:r>
      <w:r>
        <w:t>iscutés (p. </w:t>
      </w:r>
      <w:r w:rsidRPr="00B67098">
        <w:t>217</w:t>
      </w:r>
      <w:r>
        <w:t xml:space="preserve">). Pour Olivier Martin, ce </w:t>
      </w:r>
      <w:r w:rsidRPr="00B67098">
        <w:t xml:space="preserve">passage </w:t>
      </w:r>
      <w:r>
        <w:t>s’incarne dans le</w:t>
      </w:r>
      <w:r w:rsidRPr="00B67098">
        <w:t xml:space="preserve"> </w:t>
      </w:r>
      <w:r w:rsidRPr="00AB1CC4">
        <w:rPr>
          <w:i/>
        </w:rPr>
        <w:t>New public Management</w:t>
      </w:r>
      <w:r>
        <w:t xml:space="preserve"> (p. </w:t>
      </w:r>
      <w:r w:rsidRPr="00B67098">
        <w:t>217</w:t>
      </w:r>
      <w:r>
        <w:t>). La croyance dans la capacité du calcul à fonder l’ensemble de l’organisation permet alors « de penser les sociétés </w:t>
      </w:r>
      <w:r w:rsidRPr="00B67098">
        <w:t>en les purgeant du débat</w:t>
      </w:r>
      <w:r>
        <w:t> » et de les soumettre « </w:t>
      </w:r>
      <w:r w:rsidRPr="00B67098">
        <w:t xml:space="preserve">aux lois chiffrées qui échappent </w:t>
      </w:r>
      <w:r>
        <w:t>à la contradiction, principe sacré du droit » (p. </w:t>
      </w:r>
      <w:r w:rsidRPr="00B67098">
        <w:t>218</w:t>
      </w:r>
      <w:r>
        <w:t xml:space="preserve">). On peut remarquer que la généralisation de la quantification était aussi souhaitée par les réformateurs français de l’entre-deux-guerres qui, derrière Auguste </w:t>
      </w:r>
      <w:proofErr w:type="spellStart"/>
      <w:r>
        <w:t>Detoeuf</w:t>
      </w:r>
      <w:proofErr w:type="spellEnd"/>
      <w:r>
        <w:t xml:space="preserve"> ou Maurice Allais, considéraient que le développement de l’information chiffrée suffirait à éliminer la lutte des classes …</w:t>
      </w:r>
      <w:r>
        <w:rPr>
          <w:rStyle w:val="Appelnotedebasdep"/>
        </w:rPr>
        <w:footnoteReference w:id="5"/>
      </w:r>
      <w:r>
        <w:t>. Ces ‘visionnaires’ des années 1930 avaient bien vu que « quantifier permet d’</w:t>
      </w:r>
      <w:r w:rsidRPr="00B67098">
        <w:t xml:space="preserve">établir la confiance, </w:t>
      </w:r>
      <w:r>
        <w:t>de</w:t>
      </w:r>
      <w:r w:rsidRPr="00B67098">
        <w:t xml:space="preserve"> dépersonnalise</w:t>
      </w:r>
      <w:r>
        <w:t>r</w:t>
      </w:r>
      <w:r w:rsidRPr="00B67098">
        <w:t xml:space="preserve"> </w:t>
      </w:r>
      <w:r>
        <w:t>les tensions » (p. </w:t>
      </w:r>
      <w:r w:rsidRPr="00B67098">
        <w:t>227</w:t>
      </w:r>
      <w:r>
        <w:t xml:space="preserve">). L’ouvrage incite pourtant à « douter de la pertinence du système » puisqu’il interdit de « discuter </w:t>
      </w:r>
      <w:r w:rsidRPr="00B67098">
        <w:t>les indicateurs</w:t>
      </w:r>
      <w:r>
        <w:t xml:space="preserve"> ». Il souligne les paradoxes de « cette mise en chiffres, qui permet de manipuler </w:t>
      </w:r>
      <w:r w:rsidRPr="00B67098">
        <w:t>les individus com</w:t>
      </w:r>
      <w:r>
        <w:t>me on programme des algorithmes »</w:t>
      </w:r>
      <w:r w:rsidRPr="000647FE">
        <w:t xml:space="preserve"> </w:t>
      </w:r>
      <w:r>
        <w:t>(p. </w:t>
      </w:r>
      <w:r w:rsidRPr="00B67098">
        <w:t>219</w:t>
      </w:r>
      <w:r>
        <w:t>)</w:t>
      </w:r>
      <w:r w:rsidR="008E55C2">
        <w:t>,</w:t>
      </w:r>
      <w:r>
        <w:t xml:space="preserve"> mais qui, en retour, fournit « </w:t>
      </w:r>
      <w:r w:rsidRPr="00B67098">
        <w:t>aux électe</w:t>
      </w:r>
      <w:r>
        <w:t>u</w:t>
      </w:r>
      <w:r w:rsidRPr="00B67098">
        <w:t>rs les moye</w:t>
      </w:r>
      <w:r>
        <w:t>n</w:t>
      </w:r>
      <w:r w:rsidRPr="00B67098">
        <w:t>s de forger leurs décisions dans l’isoloir</w:t>
      </w:r>
      <w:r>
        <w:t> »</w:t>
      </w:r>
      <w:r w:rsidRPr="00B67098">
        <w:t xml:space="preserve"> </w:t>
      </w:r>
      <w:r>
        <w:t>(p. </w:t>
      </w:r>
      <w:r w:rsidRPr="00B67098">
        <w:t>234</w:t>
      </w:r>
      <w:r>
        <w:t>) et « place</w:t>
      </w:r>
      <w:r w:rsidRPr="00B67098">
        <w:t xml:space="preserve"> le pouvoir sous surveillance</w:t>
      </w:r>
      <w:r>
        <w:t xml:space="preserve"> » (p. 235), devenant alors l’arme des pauvres.</w:t>
      </w:r>
    </w:p>
    <w:p w14:paraId="6E508041" w14:textId="5EC3210A" w:rsidR="00765D7E" w:rsidRDefault="00765D7E" w:rsidP="009C4C92">
      <w:pPr>
        <w:pStyle w:val="Corps"/>
      </w:pPr>
      <w:r>
        <w:t>Olivier Martin montre que l</w:t>
      </w:r>
      <w:r w:rsidRPr="006C678E">
        <w:t>a quantification</w:t>
      </w:r>
      <w:r>
        <w:t xml:space="preserve"> procède d’un choix (p. </w:t>
      </w:r>
      <w:r w:rsidRPr="00B67098">
        <w:t>251</w:t>
      </w:r>
      <w:r>
        <w:t>) qui n’est pas neutre. Il précise que « l</w:t>
      </w:r>
      <w:r w:rsidRPr="00B67098">
        <w:t xml:space="preserve">es opérations </w:t>
      </w:r>
      <w:r>
        <w:t>de</w:t>
      </w:r>
      <w:r w:rsidRPr="00B67098">
        <w:t xml:space="preserve"> quant</w:t>
      </w:r>
      <w:r>
        <w:t xml:space="preserve">ification </w:t>
      </w:r>
      <w:r w:rsidRPr="00B67098">
        <w:t>sont parmi les formes de pouvoir les plus douces</w:t>
      </w:r>
      <w:r>
        <w:t> », considérant par exemple que « </w:t>
      </w:r>
      <w:r w:rsidRPr="00B67098">
        <w:t xml:space="preserve">le PIB reste incontournable </w:t>
      </w:r>
      <w:r>
        <w:t xml:space="preserve">par sa </w:t>
      </w:r>
      <w:r w:rsidRPr="00B67098">
        <w:t xml:space="preserve">capacité </w:t>
      </w:r>
      <w:r>
        <w:t>à</w:t>
      </w:r>
      <w:r w:rsidRPr="00B67098">
        <w:t xml:space="preserve"> établir des liens</w:t>
      </w:r>
      <w:r>
        <w:t xml:space="preserve"> et à réduire </w:t>
      </w:r>
      <w:r w:rsidRPr="00B67098">
        <w:t xml:space="preserve">des </w:t>
      </w:r>
      <w:r>
        <w:t>phénomènes » (p. </w:t>
      </w:r>
      <w:r w:rsidRPr="00B67098">
        <w:t>259</w:t>
      </w:r>
      <w:r>
        <w:t>),</w:t>
      </w:r>
      <w:r w:rsidRPr="00B67098">
        <w:t xml:space="preserve"> </w:t>
      </w:r>
      <w:r>
        <w:t>ce qui peut être discuté. Ces « </w:t>
      </w:r>
      <w:r w:rsidRPr="00B67098">
        <w:t>réponse</w:t>
      </w:r>
      <w:r>
        <w:t>s</w:t>
      </w:r>
      <w:r w:rsidRPr="00B67098">
        <w:t xml:space="preserve"> technique</w:t>
      </w:r>
      <w:r>
        <w:t>s</w:t>
      </w:r>
      <w:r w:rsidRPr="00B67098">
        <w:t xml:space="preserve"> automatique</w:t>
      </w:r>
      <w:r>
        <w:t>s »</w:t>
      </w:r>
      <w:r w:rsidRPr="00B67098">
        <w:t xml:space="preserve"> </w:t>
      </w:r>
      <w:r>
        <w:t>(p.</w:t>
      </w:r>
      <w:r w:rsidR="007217B2">
        <w:t> </w:t>
      </w:r>
      <w:r w:rsidRPr="00B67098">
        <w:t>260</w:t>
      </w:r>
      <w:r>
        <w:t>) assimilent chaque difficulté à des questions purement techniques et permettent</w:t>
      </w:r>
      <w:r w:rsidRPr="00B67098">
        <w:t xml:space="preserve"> </w:t>
      </w:r>
      <w:r>
        <w:t>«</w:t>
      </w:r>
      <w:r w:rsidRPr="00B67098">
        <w:t xml:space="preserve"> de gouverner sans donner l’impression de gouverner puisque la réalité s’impose à nous</w:t>
      </w:r>
      <w:r>
        <w:t> » (p. </w:t>
      </w:r>
      <w:r w:rsidRPr="00B67098">
        <w:t>261</w:t>
      </w:r>
      <w:r>
        <w:t xml:space="preserve">). Dans ce sens, la quantification est au cœur des politiques publiques, elle </w:t>
      </w:r>
      <w:r w:rsidRPr="00B67098">
        <w:lastRenderedPageBreak/>
        <w:t>façonne notre manière de</w:t>
      </w:r>
      <w:r>
        <w:t xml:space="preserve"> penser </w:t>
      </w:r>
      <w:r w:rsidRPr="00B67098">
        <w:t xml:space="preserve">le monde </w:t>
      </w:r>
      <w:r>
        <w:t>(p. </w:t>
      </w:r>
      <w:r w:rsidRPr="00B67098">
        <w:t>263</w:t>
      </w:r>
      <w:r>
        <w:t>). La démonstration est convaincante.</w:t>
      </w:r>
    </w:p>
    <w:p w14:paraId="21551F79" w14:textId="77777777" w:rsidR="00765D7E" w:rsidRDefault="00765D7E" w:rsidP="009C4C92">
      <w:pPr>
        <w:pStyle w:val="Corps"/>
      </w:pPr>
      <w:r w:rsidRPr="00BB13D1">
        <w:t>En conclusion</w:t>
      </w:r>
      <w:r w:rsidRPr="00737BFB">
        <w:rPr>
          <w:b/>
        </w:rPr>
        <w:t xml:space="preserve"> </w:t>
      </w:r>
      <w:r>
        <w:t>l’auteur rappelle que paradoxalement, alors que « </w:t>
      </w:r>
      <w:r w:rsidRPr="00B67098">
        <w:t>quantifier</w:t>
      </w:r>
      <w:r>
        <w:t xml:space="preserve"> » est </w:t>
      </w:r>
      <w:r w:rsidRPr="00B67098">
        <w:t>«</w:t>
      </w:r>
      <w:r>
        <w:t> </w:t>
      </w:r>
      <w:r w:rsidRPr="00B67098">
        <w:t>un acte social</w:t>
      </w:r>
      <w:r>
        <w:t xml:space="preserve">, </w:t>
      </w:r>
      <w:r w:rsidRPr="00B67098">
        <w:t>volontaire</w:t>
      </w:r>
      <w:r>
        <w:t xml:space="preserve"> et</w:t>
      </w:r>
      <w:r w:rsidRPr="00B67098">
        <w:t xml:space="preserve"> collectif</w:t>
      </w:r>
      <w:r>
        <w:t> », «</w:t>
      </w:r>
      <w:r w:rsidRPr="00B67098">
        <w:t xml:space="preserve"> l’id</w:t>
      </w:r>
      <w:r>
        <w:t>ée</w:t>
      </w:r>
      <w:r w:rsidRPr="00B67098">
        <w:t xml:space="preserve"> que les chiffres sont des outils neutres</w:t>
      </w:r>
      <w:r>
        <w:t>, rationnels, objectifs » (p. </w:t>
      </w:r>
      <w:r w:rsidRPr="00B67098">
        <w:t>266</w:t>
      </w:r>
      <w:r>
        <w:t>) s’est imposée.</w:t>
      </w:r>
      <w:r w:rsidRPr="00B67098">
        <w:t xml:space="preserve"> </w:t>
      </w:r>
      <w:r>
        <w:t>Il invite à</w:t>
      </w:r>
      <w:r w:rsidRPr="00B67098">
        <w:t xml:space="preserve"> </w:t>
      </w:r>
      <w:r>
        <w:t>« </w:t>
      </w:r>
      <w:r w:rsidRPr="00B67098">
        <w:t>se ressaisir de</w:t>
      </w:r>
      <w:r>
        <w:t xml:space="preserve"> ce</w:t>
      </w:r>
      <w:r w:rsidRPr="00B67098">
        <w:t>s chiffres</w:t>
      </w:r>
      <w:r>
        <w:t> »</w:t>
      </w:r>
      <w:r w:rsidRPr="00B67098">
        <w:t xml:space="preserve"> </w:t>
      </w:r>
      <w:r>
        <w:t>pour</w:t>
      </w:r>
      <w:r w:rsidRPr="00B67098">
        <w:t xml:space="preserve"> </w:t>
      </w:r>
      <w:r>
        <w:t>« </w:t>
      </w:r>
      <w:r w:rsidRPr="00B67098">
        <w:t>moins subir leur autorité</w:t>
      </w:r>
      <w:r>
        <w:t> »,</w:t>
      </w:r>
      <w:r w:rsidRPr="00B67098">
        <w:t xml:space="preserve"> </w:t>
      </w:r>
      <w:r>
        <w:t>à</w:t>
      </w:r>
      <w:r w:rsidRPr="00B67098">
        <w:t xml:space="preserve"> </w:t>
      </w:r>
      <w:r>
        <w:t>« </w:t>
      </w:r>
      <w:r w:rsidRPr="00B67098">
        <w:t>mieux connaître</w:t>
      </w:r>
      <w:r>
        <w:t> »</w:t>
      </w:r>
      <w:r w:rsidRPr="00B67098">
        <w:t xml:space="preserve"> les choix qu’ils </w:t>
      </w:r>
      <w:r>
        <w:t>« </w:t>
      </w:r>
      <w:r w:rsidRPr="00B67098">
        <w:t>incarnent silencieusement</w:t>
      </w:r>
      <w:r>
        <w:t> »</w:t>
      </w:r>
      <w:r w:rsidRPr="00B67098">
        <w:t xml:space="preserve"> et </w:t>
      </w:r>
      <w:r>
        <w:t>à « développer notre vigilance critique pour</w:t>
      </w:r>
      <w:r w:rsidRPr="00B67098">
        <w:t xml:space="preserve"> se réapproprier leur construction</w:t>
      </w:r>
      <w:r>
        <w:t> » et</w:t>
      </w:r>
      <w:r w:rsidRPr="00B67098">
        <w:t xml:space="preserve"> nous émanciper de l</w:t>
      </w:r>
      <w:r>
        <w:t xml:space="preserve">eur </w:t>
      </w:r>
      <w:r w:rsidRPr="00B67098">
        <w:t>emp</w:t>
      </w:r>
      <w:r>
        <w:t>rise. Cet appel</w:t>
      </w:r>
      <w:r w:rsidRPr="00B67098">
        <w:t xml:space="preserve"> semble </w:t>
      </w:r>
      <w:r>
        <w:t xml:space="preserve">d’autant plus </w:t>
      </w:r>
      <w:r w:rsidRPr="00B67098">
        <w:t>nécessaire qu</w:t>
      </w:r>
      <w:r>
        <w:t>e les chiffres</w:t>
      </w:r>
      <w:r w:rsidRPr="00B67098">
        <w:t xml:space="preserve"> ne cessent d’étendre leur empire</w:t>
      </w:r>
      <w:r>
        <w:t>.</w:t>
      </w:r>
    </w:p>
    <w:p w14:paraId="59A52120" w14:textId="77777777" w:rsidR="00765D7E" w:rsidRPr="006B2C34" w:rsidRDefault="00765D7E" w:rsidP="009C4C92">
      <w:pPr>
        <w:pStyle w:val="VDIIntertitre"/>
      </w:pPr>
      <w:r w:rsidRPr="006B2C34">
        <w:t>Notes critiques</w:t>
      </w:r>
    </w:p>
    <w:p w14:paraId="2EF49CFF" w14:textId="78E9E13A" w:rsidR="00765D7E" w:rsidRDefault="00765D7E" w:rsidP="009C4C92">
      <w:pPr>
        <w:pStyle w:val="Corps"/>
      </w:pPr>
      <w:r>
        <w:t xml:space="preserve">Quelques notes critiques pour finir. Le choix assumé par l’auteur de faire un </w:t>
      </w:r>
      <w:r w:rsidRPr="00B67098">
        <w:t>manuel</w:t>
      </w:r>
      <w:r>
        <w:t xml:space="preserve"> tout d’abord,</w:t>
      </w:r>
      <w:r w:rsidRPr="00B67098">
        <w:t xml:space="preserve"> </w:t>
      </w:r>
      <w:r>
        <w:t>ne me semble pas compl</w:t>
      </w:r>
      <w:r w:rsidR="008E55C2">
        <w:t>è</w:t>
      </w:r>
      <w:r>
        <w:t>tement abouti</w:t>
      </w:r>
      <w:r w:rsidR="008E55C2">
        <w:t>,</w:t>
      </w:r>
      <w:r>
        <w:t xml:space="preserve"> car il manque un </w:t>
      </w:r>
      <w:r w:rsidRPr="00B67098">
        <w:t>index</w:t>
      </w:r>
      <w:r>
        <w:t xml:space="preserve"> qui aurait été fort utile pour retrouver les nombreux acteurs qui traversent les chapitres. La bibliographie comporte bien sûr quelques ‘trous’, la faiblesse des références historiques en particulier. Ainsi, à plusieurs reprises les</w:t>
      </w:r>
      <w:r w:rsidRPr="00B67098">
        <w:t xml:space="preserve"> indicateurs chiffrés </w:t>
      </w:r>
      <w:r>
        <w:t xml:space="preserve">sont </w:t>
      </w:r>
      <w:r w:rsidRPr="00B67098">
        <w:t xml:space="preserve">associés </w:t>
      </w:r>
      <w:r>
        <w:t>à</w:t>
      </w:r>
      <w:r w:rsidRPr="00B67098">
        <w:t xml:space="preserve"> des idéologies sélectives et comparatives </w:t>
      </w:r>
      <w:r>
        <w:t>(p. 162), portées par des</w:t>
      </w:r>
      <w:r w:rsidRPr="00B67098">
        <w:t xml:space="preserve"> artisans de l’eugénisme</w:t>
      </w:r>
      <w:r>
        <w:t>, dont Francis</w:t>
      </w:r>
      <w:r w:rsidRPr="00B67098">
        <w:t xml:space="preserve"> Galton</w:t>
      </w:r>
      <w:r>
        <w:t xml:space="preserve">, ou par </w:t>
      </w:r>
      <w:r w:rsidRPr="00B67098">
        <w:t xml:space="preserve">l’idéologie nazie </w:t>
      </w:r>
      <w:r>
        <w:t xml:space="preserve">prônant </w:t>
      </w:r>
      <w:r w:rsidRPr="00B67098">
        <w:t>des idées de sélection sociale</w:t>
      </w:r>
      <w:r>
        <w:t>,</w:t>
      </w:r>
      <w:r w:rsidRPr="00B67098">
        <w:t xml:space="preserve"> d</w:t>
      </w:r>
      <w:r>
        <w:t>e</w:t>
      </w:r>
      <w:r w:rsidRPr="00B67098">
        <w:t xml:space="preserve"> compétition entre individus</w:t>
      </w:r>
      <w:r>
        <w:t>,</w:t>
      </w:r>
      <w:r w:rsidRPr="00B67098">
        <w:t xml:space="preserve"> de quête permanente de performance</w:t>
      </w:r>
      <w:r>
        <w:t>. On ne peut pas être spécialiste de tout, mais ces affirmations auraient mérité d’être étayées par des références historiques précises, et en particulier par les travaux d’</w:t>
      </w:r>
      <w:r w:rsidRPr="009271D4">
        <w:t xml:space="preserve">Adam </w:t>
      </w:r>
      <w:proofErr w:type="spellStart"/>
      <w:r w:rsidRPr="009271D4">
        <w:t>Tooze</w:t>
      </w:r>
      <w:proofErr w:type="spellEnd"/>
      <w:r>
        <w:rPr>
          <w:rStyle w:val="Appelnotedebasdep"/>
        </w:rPr>
        <w:footnoteReference w:id="6"/>
      </w:r>
      <w:r w:rsidRPr="009271D4">
        <w:rPr>
          <w:rFonts w:eastAsia="Times New Roman" w:cs="Times New Roman"/>
        </w:rPr>
        <w:t>.</w:t>
      </w:r>
    </w:p>
    <w:p w14:paraId="7937AA57" w14:textId="591DD59D" w:rsidR="00765D7E" w:rsidRDefault="00765D7E" w:rsidP="009C4C92">
      <w:pPr>
        <w:pStyle w:val="Corps"/>
      </w:pPr>
      <w:r>
        <w:t>Quelques regrets aussi. Le choix éditorial de ne pas traiter les chiffres comptables, qui sont en fait un peu abordé</w:t>
      </w:r>
      <w:r w:rsidR="008E55C2">
        <w:t>s</w:t>
      </w:r>
      <w:r>
        <w:t>, l’absence de recherche de contre-</w:t>
      </w:r>
      <w:r w:rsidRPr="00B67098">
        <w:t>pouvoirs</w:t>
      </w:r>
      <w:r>
        <w:t xml:space="preserve"> à cette emprise des chiffres, et il doit bien y en avoir, l’absence de référence aux échecs de la quantification, aux expériences avortées, comme celles des propositions de Plans comptables qui n’ont été et ne seront jamais utilisés. Si les </w:t>
      </w:r>
      <w:r w:rsidRPr="00B67098">
        <w:t xml:space="preserve">étapes de la construction de </w:t>
      </w:r>
      <w:r>
        <w:t>« </w:t>
      </w:r>
      <w:r w:rsidRPr="00B67098">
        <w:t>l’empire</w:t>
      </w:r>
      <w:r>
        <w:t> »</w:t>
      </w:r>
      <w:r w:rsidRPr="00B67098">
        <w:t xml:space="preserve"> sont clairement décrites</w:t>
      </w:r>
      <w:r>
        <w:t>,</w:t>
      </w:r>
      <w:r w:rsidRPr="00B67098">
        <w:t xml:space="preserve"> </w:t>
      </w:r>
      <w:r>
        <w:t xml:space="preserve">ne reste-t-il pas </w:t>
      </w:r>
      <w:r w:rsidRPr="00B67098">
        <w:t>à s’interroger sur les cara</w:t>
      </w:r>
      <w:r>
        <w:t>ctéristiques de l’empire précéda</w:t>
      </w:r>
      <w:r w:rsidRPr="00B67098">
        <w:t xml:space="preserve">nt </w:t>
      </w:r>
      <w:r>
        <w:t xml:space="preserve">celui des chiffres, </w:t>
      </w:r>
      <w:r w:rsidRPr="00B67098">
        <w:t xml:space="preserve">lorsque le commerce ou </w:t>
      </w:r>
      <w:r>
        <w:t>le</w:t>
      </w:r>
      <w:r w:rsidRPr="00B67098">
        <w:t xml:space="preserve"> </w:t>
      </w:r>
      <w:r w:rsidRPr="00B67098">
        <w:lastRenderedPageBreak/>
        <w:t>pouvoir n’exigeait pas d’étalon commun</w:t>
      </w:r>
      <w:r>
        <w:t> ?</w:t>
      </w:r>
      <w:r w:rsidRPr="00B67098">
        <w:t xml:space="preserve"> Était-ce </w:t>
      </w:r>
      <w:r>
        <w:t>« </w:t>
      </w:r>
      <w:r w:rsidRPr="00B67098">
        <w:t>l’empire des mots</w:t>
      </w:r>
      <w:r>
        <w:t> », qui, comme les chiffres</w:t>
      </w:r>
      <w:r w:rsidR="008E55C2">
        <w:t>,</w:t>
      </w:r>
      <w:r>
        <w:t xml:space="preserve"> </w:t>
      </w:r>
      <w:r w:rsidRPr="00B67098">
        <w:t>constituent un langage commun</w:t>
      </w:r>
      <w:r>
        <w:t xml:space="preserve"> ? </w:t>
      </w:r>
    </w:p>
    <w:p w14:paraId="678EC549" w14:textId="77777777" w:rsidR="00765D7E" w:rsidRDefault="00765D7E" w:rsidP="009C4C92">
      <w:pPr>
        <w:pStyle w:val="Corps"/>
      </w:pPr>
      <w:r w:rsidRPr="00B67098">
        <w:t>L</w:t>
      </w:r>
      <w:r>
        <w:t>’exemple d</w:t>
      </w:r>
      <w:r w:rsidRPr="00B67098">
        <w:t xml:space="preserve">es économistes français qui écartent </w:t>
      </w:r>
      <w:r>
        <w:t xml:space="preserve">l’économie mathématique de </w:t>
      </w:r>
      <w:r w:rsidRPr="00B67098">
        <w:t>Léon Walras au XIX</w:t>
      </w:r>
      <w:r w:rsidRPr="00C95E43">
        <w:rPr>
          <w:vertAlign w:val="superscript"/>
        </w:rPr>
        <w:t>e</w:t>
      </w:r>
      <w:r w:rsidRPr="00B67098">
        <w:t xml:space="preserve"> siècle</w:t>
      </w:r>
      <w:r>
        <w:t xml:space="preserve"> et opposent un raisonnement du verbe à un raisonnement du chiffre est à contre-courant du développement de l’emprise du chiffre décrit par Olivier Martin</w:t>
      </w:r>
      <w:r>
        <w:rPr>
          <w:rStyle w:val="Appelnotedebasdep"/>
        </w:rPr>
        <w:footnoteReference w:id="7"/>
      </w:r>
      <w:r>
        <w:t xml:space="preserve">. L’analyse de ces tensions entre une France des mots et une France des chiffres et </w:t>
      </w:r>
      <w:r w:rsidRPr="00B67098">
        <w:t>l</w:t>
      </w:r>
      <w:r>
        <w:t>’étude d</w:t>
      </w:r>
      <w:r w:rsidRPr="00B67098">
        <w:t xml:space="preserve">es résistances à </w:t>
      </w:r>
      <w:r>
        <w:t>l’impérialisme du chiffre restent à faire</w:t>
      </w:r>
      <w:r>
        <w:rPr>
          <w:rStyle w:val="Appelnotedebasdep"/>
        </w:rPr>
        <w:footnoteReference w:id="8"/>
      </w:r>
      <w:r>
        <w:t>. Il en est de même de l‘analyse des sceptiques, qui refusent de répondre aux questionnaires des enquêtes officielles ou de remplir les bulletins de</w:t>
      </w:r>
      <w:r w:rsidRPr="00B67098">
        <w:t xml:space="preserve"> recensement démographique</w:t>
      </w:r>
      <w:r>
        <w:t xml:space="preserve"> et </w:t>
      </w:r>
      <w:r w:rsidRPr="00B67098">
        <w:t>qui résistent à bas bruit à l’emprise du chiffre</w:t>
      </w:r>
      <w:r>
        <w:t>. P</w:t>
      </w:r>
      <w:r w:rsidRPr="00B67098">
        <w:t>ourtant</w:t>
      </w:r>
      <w:r>
        <w:t>, même ces ‘résistants’ sont sous emprise puisqu’i</w:t>
      </w:r>
      <w:r w:rsidRPr="00B67098">
        <w:t xml:space="preserve">ls utilisent un réveil, prennent leur température, achètent des mètres de tissus et font peser leurs fruits au marché. </w:t>
      </w:r>
      <w:r>
        <w:t xml:space="preserve">Que vaut leur opposition ? </w:t>
      </w:r>
    </w:p>
    <w:p w14:paraId="6B33811F" w14:textId="77777777" w:rsidR="00765D7E" w:rsidRPr="00432FF5" w:rsidRDefault="00765D7E" w:rsidP="009C4C92">
      <w:pPr>
        <w:pStyle w:val="VDIIntertitre"/>
      </w:pPr>
      <w:r w:rsidRPr="00432FF5">
        <w:t>Conclusion</w:t>
      </w:r>
    </w:p>
    <w:p w14:paraId="7FC69273" w14:textId="2DB37860" w:rsidR="00765D7E" w:rsidRPr="00CE701F" w:rsidRDefault="00765D7E" w:rsidP="009C4C92">
      <w:pPr>
        <w:pStyle w:val="Corps"/>
      </w:pPr>
      <w:r>
        <w:t xml:space="preserve">Outre le foisonnement d’exemples extraits d’un vaste échantillon d’ouvrages, les principaux apports de </w:t>
      </w:r>
      <w:r w:rsidRPr="00973EB0">
        <w:rPr>
          <w:i/>
          <w:iCs/>
        </w:rPr>
        <w:t>L’empire des chiffres</w:t>
      </w:r>
      <w:r>
        <w:t xml:space="preserve"> sont de deux types. En reconstituant les étapes de la formation de l’empire dans le temps long, Olivier Martin montre tout d’abord qu’ils répondent aux besoins de la vie collective, se mettent au service de la science puis affirment leur autorité en s’imposant au cœur de l’évaluation des politiques publiques. Dans un second temps, ces analyses montrent que, même si l’utilité des chiffres est incontestable, la légitimité que leur confère leur apparente scientificité et leur proximité au pouvoir politique doit être discuté</w:t>
      </w:r>
      <w:r w:rsidR="008E55C2">
        <w:t>e</w:t>
      </w:r>
      <w:r>
        <w:t>.</w:t>
      </w:r>
    </w:p>
    <w:p w14:paraId="4FDF0512" w14:textId="38A05FD7" w:rsidR="0063372A" w:rsidRDefault="0063372A" w:rsidP="0063372A">
      <w:pPr>
        <w:pStyle w:val="VDIdate"/>
      </w:pPr>
      <w:r>
        <w:t>Publié dans lavi</w:t>
      </w:r>
      <w:r w:rsidR="006E7A74">
        <w:t>e</w:t>
      </w:r>
      <w:r>
        <w:t>desidees.fr, le</w:t>
      </w:r>
      <w:r w:rsidR="008F3232">
        <w:t xml:space="preserve"> </w:t>
      </w:r>
      <w:r w:rsidR="008E55C2">
        <w:t xml:space="preserve">17 </w:t>
      </w:r>
      <w:r w:rsidR="009C4C92">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9A85" w14:textId="77777777" w:rsidR="0000406F" w:rsidRDefault="0000406F">
      <w:r>
        <w:separator/>
      </w:r>
    </w:p>
  </w:endnote>
  <w:endnote w:type="continuationSeparator" w:id="0">
    <w:p w14:paraId="073FCEF4" w14:textId="77777777" w:rsidR="0000406F" w:rsidRDefault="0000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6A2A" w14:textId="77777777" w:rsidR="0000406F" w:rsidRDefault="0000406F">
      <w:r>
        <w:separator/>
      </w:r>
    </w:p>
  </w:footnote>
  <w:footnote w:type="continuationSeparator" w:id="0">
    <w:p w14:paraId="486E03C6" w14:textId="77777777" w:rsidR="0000406F" w:rsidRDefault="0000406F">
      <w:r>
        <w:continuationSeparator/>
      </w:r>
    </w:p>
  </w:footnote>
  <w:footnote w:id="1">
    <w:p w14:paraId="5F8684BE" w14:textId="10FE12C5" w:rsidR="00765D7E" w:rsidRPr="00793FAC" w:rsidRDefault="00765D7E" w:rsidP="008069A4">
      <w:pPr>
        <w:pStyle w:val="Notedebasdepage"/>
      </w:pPr>
      <w:r w:rsidRPr="00793FAC">
        <w:rPr>
          <w:rStyle w:val="Appelnotedebasdep"/>
        </w:rPr>
        <w:footnoteRef/>
      </w:r>
      <w:r w:rsidRPr="00793FAC">
        <w:t xml:space="preserve"> Les expressions entre ‘…’ sont de l’autrice de cette notice</w:t>
      </w:r>
      <w:r w:rsidR="009C4C92">
        <w:t>.</w:t>
      </w:r>
    </w:p>
  </w:footnote>
  <w:footnote w:id="2">
    <w:p w14:paraId="469F6728" w14:textId="77777777" w:rsidR="00765D7E" w:rsidRPr="00973EB0" w:rsidRDefault="00765D7E" w:rsidP="00765D7E">
      <w:pPr>
        <w:pStyle w:val="Notedebasdepage"/>
      </w:pPr>
      <w:r w:rsidRPr="00973EB0">
        <w:rPr>
          <w:rStyle w:val="Appelnotedebasdep"/>
        </w:rPr>
        <w:footnoteRef/>
      </w:r>
      <w:r w:rsidRPr="00973EB0">
        <w:t xml:space="preserve"> </w:t>
      </w:r>
      <w:hyperlink r:id="rId1" w:history="1">
        <w:r w:rsidRPr="00973EB0">
          <w:rPr>
            <w:rStyle w:val="Lienhypertexte"/>
          </w:rPr>
          <w:t>https://laviedesidees.fr/Quantifier-pour-transformer.html</w:t>
        </w:r>
      </w:hyperlink>
    </w:p>
  </w:footnote>
  <w:footnote w:id="3">
    <w:p w14:paraId="6C454637" w14:textId="7F8FBB63" w:rsidR="00765D7E" w:rsidRPr="00973EB0" w:rsidRDefault="00765D7E" w:rsidP="00765D7E">
      <w:pPr>
        <w:pStyle w:val="Notedebasdepage"/>
        <w:rPr>
          <w:lang w:val="en-US"/>
        </w:rPr>
      </w:pPr>
      <w:r>
        <w:rPr>
          <w:rStyle w:val="Appelnotedebasdep"/>
        </w:rPr>
        <w:footnoteRef/>
      </w:r>
      <w:r w:rsidRPr="00973EB0">
        <w:rPr>
          <w:lang w:val="en-US"/>
        </w:rPr>
        <w:t xml:space="preserve"> Theodore M. Porter, </w:t>
      </w:r>
      <w:r w:rsidRPr="00973EB0">
        <w:rPr>
          <w:i/>
          <w:lang w:val="en-US"/>
        </w:rPr>
        <w:t>Trust in number: the pursuit of Objectivity in Science and Public Lif</w:t>
      </w:r>
      <w:r w:rsidRPr="00973EB0">
        <w:rPr>
          <w:lang w:val="en-US"/>
        </w:rPr>
        <w:t xml:space="preserve">e, Princeton N.J. Princeton University Press, 1994, </w:t>
      </w:r>
      <w:proofErr w:type="spellStart"/>
      <w:r w:rsidRPr="00973EB0">
        <w:rPr>
          <w:lang w:val="en-US"/>
        </w:rPr>
        <w:t>traduction</w:t>
      </w:r>
      <w:proofErr w:type="spellEnd"/>
      <w:r w:rsidRPr="00973EB0">
        <w:rPr>
          <w:lang w:val="en-US"/>
        </w:rPr>
        <w:t xml:space="preserve"> </w:t>
      </w:r>
      <w:proofErr w:type="spellStart"/>
      <w:r w:rsidRPr="00973EB0">
        <w:rPr>
          <w:lang w:val="en-US"/>
        </w:rPr>
        <w:t>française</w:t>
      </w:r>
      <w:proofErr w:type="spellEnd"/>
      <w:r w:rsidRPr="00973EB0">
        <w:rPr>
          <w:lang w:val="en-US"/>
        </w:rPr>
        <w:t xml:space="preserve"> 2017</w:t>
      </w:r>
      <w:r w:rsidR="007217B2">
        <w:rPr>
          <w:lang w:val="en-US"/>
        </w:rPr>
        <w:t>.</w:t>
      </w:r>
    </w:p>
  </w:footnote>
  <w:footnote w:id="4">
    <w:p w14:paraId="38A3A045" w14:textId="77777777" w:rsidR="00765D7E" w:rsidRPr="007E37C0" w:rsidRDefault="00765D7E" w:rsidP="009C4C92">
      <w:pPr>
        <w:pStyle w:val="Notedebasdepage"/>
      </w:pPr>
      <w:r w:rsidRPr="007E37C0">
        <w:rPr>
          <w:rStyle w:val="Appelnotedebasdep"/>
          <w:rFonts w:ascii="Times New Roman" w:hAnsi="Times New Roman"/>
        </w:rPr>
        <w:footnoteRef/>
      </w:r>
      <w:r w:rsidRPr="007E37C0">
        <w:t xml:space="preserve"> </w:t>
      </w:r>
      <w:r>
        <w:t xml:space="preserve">« La révolution de papier » analysée par </w:t>
      </w:r>
      <w:r w:rsidRPr="007E37C0">
        <w:t xml:space="preserve">Delphine </w:t>
      </w:r>
      <w:proofErr w:type="spellStart"/>
      <w:r w:rsidRPr="007E37C0">
        <w:t>Gardey</w:t>
      </w:r>
      <w:proofErr w:type="spellEnd"/>
      <w:r w:rsidRPr="007E37C0">
        <w:t xml:space="preserve">, </w:t>
      </w:r>
      <w:r w:rsidRPr="009C4C92">
        <w:rPr>
          <w:i/>
          <w:iCs/>
        </w:rPr>
        <w:t>Écrire, calculer, classer. Comment une révolution de papier a transformé les sociétés contemporaines (1800-1940)</w:t>
      </w:r>
      <w:r w:rsidRPr="007E37C0">
        <w:t>, Paris,</w:t>
      </w:r>
      <w:r w:rsidRPr="007E37C0">
        <w:rPr>
          <w:rStyle w:val="apple-converted-space"/>
          <w:rFonts w:ascii="Times New Roman" w:eastAsia="Times New Roman" w:hAnsi="Times New Roman"/>
          <w:color w:val="202122"/>
        </w:rPr>
        <w:t> </w:t>
      </w:r>
      <w:r w:rsidRPr="003B79E2">
        <w:t>La Découverte</w:t>
      </w:r>
      <w:r w:rsidRPr="007E37C0">
        <w:t>, 2008.</w:t>
      </w:r>
    </w:p>
  </w:footnote>
  <w:footnote w:id="5">
    <w:p w14:paraId="78484D4E" w14:textId="7ED77138" w:rsidR="00765D7E" w:rsidRPr="008D6D70" w:rsidRDefault="00765D7E" w:rsidP="009C4C92">
      <w:pPr>
        <w:pStyle w:val="Notedebasdepage"/>
      </w:pPr>
      <w:r w:rsidRPr="008D6D70">
        <w:rPr>
          <w:rStyle w:val="Appelnotedebasdep"/>
          <w:rFonts w:ascii="Times New Roman" w:hAnsi="Times New Roman"/>
        </w:rPr>
        <w:footnoteRef/>
      </w:r>
      <w:r w:rsidRPr="008D6D70">
        <w:t xml:space="preserve"> </w:t>
      </w:r>
      <w:r w:rsidR="009C4C92" w:rsidRPr="008D6D70">
        <w:rPr>
          <w:rFonts w:eastAsia="Times New Roman"/>
          <w:color w:val="323232"/>
          <w:shd w:val="clear" w:color="auto" w:fill="FFFFFF"/>
        </w:rPr>
        <w:t>Olivier</w:t>
      </w:r>
      <w:r w:rsidR="009C4C92" w:rsidRPr="008D6D70">
        <w:rPr>
          <w:rStyle w:val="uppercase"/>
          <w:rFonts w:ascii="Times New Roman" w:eastAsia="Times New Roman" w:hAnsi="Times New Roman"/>
          <w:color w:val="323232"/>
        </w:rPr>
        <w:t xml:space="preserve"> </w:t>
      </w:r>
      <w:r w:rsidRPr="008D6D70">
        <w:rPr>
          <w:rStyle w:val="uppercase"/>
          <w:rFonts w:ascii="Times New Roman" w:eastAsia="Times New Roman" w:hAnsi="Times New Roman"/>
          <w:color w:val="323232"/>
        </w:rPr>
        <w:t>Dard</w:t>
      </w:r>
      <w:r w:rsidRPr="009C4C92">
        <w:rPr>
          <w:rFonts w:eastAsia="Times New Roman"/>
          <w:i/>
          <w:iCs/>
          <w:color w:val="323232"/>
          <w:shd w:val="clear" w:color="auto" w:fill="FFFFFF"/>
        </w:rPr>
        <w:t xml:space="preserve">, </w:t>
      </w:r>
      <w:r w:rsidRPr="009C4C92">
        <w:rPr>
          <w:i/>
          <w:iCs/>
        </w:rPr>
        <w:t>Le rendez-vous manqué des relèves des années 30</w:t>
      </w:r>
      <w:r w:rsidRPr="008D6D70">
        <w:t xml:space="preserve">, Paris, </w:t>
      </w:r>
      <w:proofErr w:type="spellStart"/>
      <w:r w:rsidRPr="008D6D70">
        <w:t>P</w:t>
      </w:r>
      <w:r>
        <w:t>uf</w:t>
      </w:r>
      <w:proofErr w:type="spellEnd"/>
      <w:r w:rsidRPr="008D6D70">
        <w:t xml:space="preserve">, 2002. </w:t>
      </w:r>
    </w:p>
  </w:footnote>
  <w:footnote w:id="6">
    <w:p w14:paraId="08CAAC2A" w14:textId="2A1F6376" w:rsidR="00765D7E" w:rsidRPr="007E37C0" w:rsidRDefault="00765D7E" w:rsidP="009C4C92">
      <w:pPr>
        <w:pStyle w:val="Notedebasdepage"/>
      </w:pPr>
      <w:r w:rsidRPr="007E37C0">
        <w:rPr>
          <w:rStyle w:val="Appelnotedebasdep"/>
          <w:rFonts w:ascii="Times New Roman" w:hAnsi="Times New Roman"/>
        </w:rPr>
        <w:footnoteRef/>
      </w:r>
      <w:r w:rsidRPr="00B65675">
        <w:rPr>
          <w:lang w:val="en-US"/>
        </w:rPr>
        <w:t xml:space="preserve"> Adam </w:t>
      </w:r>
      <w:proofErr w:type="spellStart"/>
      <w:r w:rsidRPr="00B65675">
        <w:rPr>
          <w:lang w:val="en-US"/>
        </w:rPr>
        <w:t>Tooze</w:t>
      </w:r>
      <w:proofErr w:type="spellEnd"/>
      <w:r w:rsidRPr="00B65675">
        <w:rPr>
          <w:lang w:val="en-US"/>
        </w:rPr>
        <w:t xml:space="preserve">, </w:t>
      </w:r>
      <w:r w:rsidRPr="009C4C92">
        <w:rPr>
          <w:i/>
          <w:bdr w:val="none" w:sz="0" w:space="0" w:color="auto" w:frame="1"/>
          <w:shd w:val="clear" w:color="auto" w:fill="FFFFFF"/>
          <w:lang w:val="en-US"/>
        </w:rPr>
        <w:t>Statistics and the German State, 1900-1945: The Making of Modern Economic Knowledge</w:t>
      </w:r>
      <w:r w:rsidRPr="00B65675">
        <w:rPr>
          <w:shd w:val="clear" w:color="auto" w:fill="FFFFFF"/>
          <w:lang w:val="en-US"/>
        </w:rPr>
        <w:t xml:space="preserve">, Cambridge </w:t>
      </w:r>
      <w:r w:rsidRPr="009C4C92">
        <w:rPr>
          <w:lang w:val="en-US"/>
        </w:rPr>
        <w:t>University</w:t>
      </w:r>
      <w:r w:rsidRPr="00B65675">
        <w:rPr>
          <w:shd w:val="clear" w:color="auto" w:fill="FFFFFF"/>
          <w:lang w:val="en-US"/>
        </w:rPr>
        <w:t xml:space="preserve"> Press, </w:t>
      </w:r>
      <w:proofErr w:type="gramStart"/>
      <w:r w:rsidRPr="00B65675">
        <w:rPr>
          <w:shd w:val="clear" w:color="auto" w:fill="FFFFFF"/>
          <w:lang w:val="en-US"/>
        </w:rPr>
        <w:t>2001</w:t>
      </w:r>
      <w:r w:rsidR="007217B2">
        <w:rPr>
          <w:shd w:val="clear" w:color="auto" w:fill="FFFFFF"/>
          <w:lang w:val="en-US"/>
        </w:rPr>
        <w:t xml:space="preserve"> </w:t>
      </w:r>
      <w:r w:rsidRPr="00B65675">
        <w:rPr>
          <w:shd w:val="clear" w:color="auto" w:fill="FFFFFF"/>
          <w:lang w:val="en-US"/>
        </w:rPr>
        <w:t>;</w:t>
      </w:r>
      <w:proofErr w:type="gramEnd"/>
      <w:r w:rsidRPr="00B65675">
        <w:rPr>
          <w:shd w:val="clear" w:color="auto" w:fill="FFFFFF"/>
          <w:lang w:val="en-US"/>
        </w:rPr>
        <w:t xml:space="preserve"> </w:t>
      </w:r>
      <w:r w:rsidRPr="009C4C92">
        <w:rPr>
          <w:i/>
          <w:iCs/>
          <w:shd w:val="clear" w:color="auto" w:fill="FFFFFF"/>
          <w:lang w:val="en-US"/>
        </w:rPr>
        <w:t>The </w:t>
      </w:r>
      <w:r w:rsidRPr="009C4C92">
        <w:rPr>
          <w:bCs/>
          <w:i/>
          <w:iCs/>
          <w:shd w:val="clear" w:color="auto" w:fill="FFFFFF"/>
          <w:lang w:val="en-US"/>
        </w:rPr>
        <w:t>Making And Breaking Of The Nazi Economy</w:t>
      </w:r>
      <w:r w:rsidRPr="009C4C92">
        <w:rPr>
          <w:i/>
          <w:iCs/>
          <w:shd w:val="clear" w:color="auto" w:fill="FFFFFF"/>
          <w:lang w:val="en-US"/>
        </w:rPr>
        <w:t>. </w:t>
      </w:r>
      <w:r w:rsidRPr="009C4C92">
        <w:rPr>
          <w:bCs/>
          <w:i/>
          <w:iCs/>
          <w:shd w:val="clear" w:color="auto" w:fill="FFFFFF"/>
        </w:rPr>
        <w:t xml:space="preserve">The </w:t>
      </w:r>
      <w:proofErr w:type="spellStart"/>
      <w:r w:rsidRPr="009C4C92">
        <w:rPr>
          <w:bCs/>
          <w:i/>
          <w:iCs/>
          <w:shd w:val="clear" w:color="auto" w:fill="FFFFFF"/>
        </w:rPr>
        <w:t>Wages</w:t>
      </w:r>
      <w:proofErr w:type="spellEnd"/>
      <w:r w:rsidRPr="009C4C92">
        <w:rPr>
          <w:bCs/>
          <w:i/>
          <w:iCs/>
          <w:shd w:val="clear" w:color="auto" w:fill="FFFFFF"/>
        </w:rPr>
        <w:t xml:space="preserve"> of Destruction</w:t>
      </w:r>
      <w:r w:rsidRPr="007E37C0">
        <w:rPr>
          <w:bCs/>
          <w:shd w:val="clear" w:color="auto" w:fill="FFFFFF"/>
        </w:rPr>
        <w:t>, London</w:t>
      </w:r>
      <w:r w:rsidRPr="007E37C0">
        <w:t xml:space="preserve"> </w:t>
      </w:r>
      <w:r w:rsidRPr="007E37C0">
        <w:rPr>
          <w:shd w:val="clear" w:color="auto" w:fill="FFFFFF"/>
        </w:rPr>
        <w:t>Allen Lane, 2006</w:t>
      </w:r>
      <w:r w:rsidR="009C4C92">
        <w:rPr>
          <w:shd w:val="clear" w:color="auto" w:fill="FFFFFF"/>
        </w:rPr>
        <w:t>.</w:t>
      </w:r>
    </w:p>
  </w:footnote>
  <w:footnote w:id="7">
    <w:p w14:paraId="623B806D" w14:textId="77777777" w:rsidR="00765D7E" w:rsidRPr="003B79E2" w:rsidRDefault="00765D7E" w:rsidP="009C4C92">
      <w:pPr>
        <w:pStyle w:val="Notedebasdepage"/>
      </w:pPr>
      <w:r w:rsidRPr="003B79E2">
        <w:rPr>
          <w:rStyle w:val="Appelnotedebasdep"/>
          <w:rFonts w:ascii="Times New Roman" w:hAnsi="Times New Roman"/>
        </w:rPr>
        <w:footnoteRef/>
      </w:r>
      <w:r w:rsidRPr="003B79E2">
        <w:t xml:space="preserve"> Lucette Le Van-</w:t>
      </w:r>
      <w:proofErr w:type="spellStart"/>
      <w:r w:rsidRPr="003B79E2">
        <w:t>Lemesle</w:t>
      </w:r>
      <w:proofErr w:type="spellEnd"/>
      <w:r w:rsidRPr="003B79E2">
        <w:t xml:space="preserve">, </w:t>
      </w:r>
      <w:r w:rsidRPr="009C4C92">
        <w:rPr>
          <w:i/>
          <w:iCs/>
        </w:rPr>
        <w:t>Le Juste ou le Riche. L’enseignement de l’économie politique, 1815-1950</w:t>
      </w:r>
      <w:r>
        <w:rPr>
          <w:shd w:val="clear" w:color="auto" w:fill="FFFFFF"/>
        </w:rPr>
        <w:t>, Paris,</w:t>
      </w:r>
      <w:r w:rsidRPr="003B79E2">
        <w:rPr>
          <w:shd w:val="clear" w:color="auto" w:fill="FFFFFF"/>
        </w:rPr>
        <w:t xml:space="preserve"> C</w:t>
      </w:r>
      <w:r>
        <w:rPr>
          <w:shd w:val="clear" w:color="auto" w:fill="FFFFFF"/>
        </w:rPr>
        <w:t>HEFF, 2004</w:t>
      </w:r>
      <w:r w:rsidRPr="003B79E2">
        <w:rPr>
          <w:shd w:val="clear" w:color="auto" w:fill="FFFFFF"/>
        </w:rPr>
        <w:t>.</w:t>
      </w:r>
    </w:p>
  </w:footnote>
  <w:footnote w:id="8">
    <w:p w14:paraId="1FBAC624" w14:textId="48223867" w:rsidR="00765D7E" w:rsidRPr="008D6D70" w:rsidRDefault="00765D7E" w:rsidP="009C4C92">
      <w:pPr>
        <w:pStyle w:val="Notedebasdepage"/>
        <w:rPr>
          <w:color w:val="000000"/>
        </w:rPr>
      </w:pPr>
      <w:r w:rsidRPr="008D6D70">
        <w:rPr>
          <w:rStyle w:val="Appelnotedebasdep"/>
          <w:rFonts w:ascii="Times New Roman" w:hAnsi="Times New Roman"/>
        </w:rPr>
        <w:footnoteRef/>
      </w:r>
      <w:r w:rsidRPr="008D6D70">
        <w:t xml:space="preserve"> Expression du premier directeur général de l’INSEE Francis-Louis </w:t>
      </w:r>
      <w:proofErr w:type="spellStart"/>
      <w:r w:rsidRPr="008D6D70">
        <w:t>Closon</w:t>
      </w:r>
      <w:proofErr w:type="spellEnd"/>
      <w:r w:rsidRPr="008D6D70">
        <w:t xml:space="preserve"> dans </w:t>
      </w:r>
      <w:r w:rsidRPr="008D6D70">
        <w:rPr>
          <w:color w:val="000000"/>
        </w:rPr>
        <w:t xml:space="preserve">« La porte étroite », 1956, 6 p. Texte communiqué par son auteur. </w:t>
      </w:r>
    </w:p>
    <w:p w14:paraId="5B50262C" w14:textId="77777777" w:rsidR="00765D7E" w:rsidRPr="003B79E2" w:rsidRDefault="00765D7E" w:rsidP="00765D7E">
      <w:pPr>
        <w:pStyle w:val="Notedebasdepage"/>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F56C9A"/>
    <w:multiLevelType w:val="multilevel"/>
    <w:tmpl w:val="4660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406F"/>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14734"/>
    <w:rsid w:val="003253C2"/>
    <w:rsid w:val="00357564"/>
    <w:rsid w:val="003616E4"/>
    <w:rsid w:val="003668BA"/>
    <w:rsid w:val="00370594"/>
    <w:rsid w:val="003A3728"/>
    <w:rsid w:val="003B1DDC"/>
    <w:rsid w:val="003B3E7A"/>
    <w:rsid w:val="00411810"/>
    <w:rsid w:val="00412DC5"/>
    <w:rsid w:val="00424A7A"/>
    <w:rsid w:val="00427A80"/>
    <w:rsid w:val="00437286"/>
    <w:rsid w:val="00440B6F"/>
    <w:rsid w:val="00463500"/>
    <w:rsid w:val="00472187"/>
    <w:rsid w:val="00481F8F"/>
    <w:rsid w:val="00491D69"/>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67A1F"/>
    <w:rsid w:val="00681218"/>
    <w:rsid w:val="00685886"/>
    <w:rsid w:val="006B5F5A"/>
    <w:rsid w:val="006E7A74"/>
    <w:rsid w:val="007217B2"/>
    <w:rsid w:val="0072515D"/>
    <w:rsid w:val="0073080B"/>
    <w:rsid w:val="00740D4F"/>
    <w:rsid w:val="00763CD8"/>
    <w:rsid w:val="00765D7E"/>
    <w:rsid w:val="007701E0"/>
    <w:rsid w:val="00787779"/>
    <w:rsid w:val="007922AF"/>
    <w:rsid w:val="00792FBC"/>
    <w:rsid w:val="007A1268"/>
    <w:rsid w:val="007B5D97"/>
    <w:rsid w:val="007D35B5"/>
    <w:rsid w:val="007E729E"/>
    <w:rsid w:val="008069A4"/>
    <w:rsid w:val="00865FAE"/>
    <w:rsid w:val="008B1967"/>
    <w:rsid w:val="008C7D8A"/>
    <w:rsid w:val="008D57AB"/>
    <w:rsid w:val="008E46DD"/>
    <w:rsid w:val="008E55C2"/>
    <w:rsid w:val="008E5CFF"/>
    <w:rsid w:val="008F3232"/>
    <w:rsid w:val="009243CE"/>
    <w:rsid w:val="009400B0"/>
    <w:rsid w:val="009403BD"/>
    <w:rsid w:val="00953330"/>
    <w:rsid w:val="00961394"/>
    <w:rsid w:val="0098253B"/>
    <w:rsid w:val="009857DD"/>
    <w:rsid w:val="009C4C92"/>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E390D"/>
    <w:rsid w:val="00DF040B"/>
    <w:rsid w:val="00DF1D51"/>
    <w:rsid w:val="00DF54FA"/>
    <w:rsid w:val="00E213B0"/>
    <w:rsid w:val="00E248D4"/>
    <w:rsid w:val="00E603A3"/>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D1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PieddepageCar">
    <w:name w:val="Pied de page Car"/>
    <w:basedOn w:val="Policepardfaut"/>
    <w:link w:val="Pieddepage"/>
    <w:uiPriority w:val="99"/>
    <w:rsid w:val="00765D7E"/>
    <w:rPr>
      <w:rFonts w:ascii="Calibri" w:eastAsia="Calibri" w:hAnsi="Calibri" w:cs="Calibri"/>
      <w:color w:val="000000"/>
      <w:sz w:val="22"/>
      <w:szCs w:val="22"/>
      <w:u w:color="000000"/>
    </w:rPr>
  </w:style>
  <w:style w:type="character" w:styleId="Numrodepage">
    <w:name w:val="page number"/>
    <w:basedOn w:val="Policepardfaut"/>
    <w:uiPriority w:val="99"/>
    <w:semiHidden/>
    <w:unhideWhenUsed/>
    <w:rsid w:val="00765D7E"/>
  </w:style>
  <w:style w:type="character" w:customStyle="1" w:styleId="uppercase">
    <w:name w:val="uppercase"/>
    <w:basedOn w:val="Policepardfaut"/>
    <w:rsid w:val="00765D7E"/>
  </w:style>
  <w:style w:type="paragraph" w:styleId="Objetducommentaire">
    <w:name w:val="annotation subject"/>
    <w:basedOn w:val="Commentaire"/>
    <w:next w:val="Commentaire"/>
    <w:link w:val="ObjetducommentaireCar"/>
    <w:uiPriority w:val="99"/>
    <w:semiHidden/>
    <w:unhideWhenUsed/>
    <w:rsid w:val="00765D7E"/>
    <w:pPr>
      <w:suppressAutoHyphens w:val="0"/>
    </w:pPr>
    <w:rPr>
      <w:rFonts w:asciiTheme="minorHAnsi" w:eastAsiaTheme="minorEastAsia" w:hAnsiTheme="minorHAnsi" w:cstheme="minorBidi"/>
      <w:b/>
      <w:bCs/>
      <w:kern w:val="0"/>
      <w:szCs w:val="20"/>
      <w:lang w:eastAsia="fr-FR" w:bidi="ar-SA"/>
    </w:rPr>
  </w:style>
  <w:style w:type="character" w:customStyle="1" w:styleId="ObjetducommentaireCar">
    <w:name w:val="Objet du commentaire Car"/>
    <w:basedOn w:val="CommentaireCar1"/>
    <w:link w:val="Objetducommentaire"/>
    <w:uiPriority w:val="99"/>
    <w:semiHidden/>
    <w:rsid w:val="00765D7E"/>
    <w:rPr>
      <w:rFonts w:asciiTheme="minorHAnsi" w:eastAsiaTheme="minorEastAsia" w:hAnsiTheme="minorHAnsi" w:cstheme="minorBidi"/>
      <w:b/>
      <w:bCs/>
      <w:kern w:val="2"/>
      <w:szCs w:val="18"/>
      <w:bdr w:val="none" w:sz="0" w:space="0" w:color="auto"/>
      <w:lang w:eastAsia="zh-CN" w:bidi="hi-IN"/>
    </w:rPr>
  </w:style>
  <w:style w:type="character" w:customStyle="1" w:styleId="Mentionnonrsolue1">
    <w:name w:val="Mention non résolue1"/>
    <w:basedOn w:val="Policepardfaut"/>
    <w:uiPriority w:val="99"/>
    <w:semiHidden/>
    <w:unhideWhenUsed/>
    <w:rsid w:val="00765D7E"/>
    <w:rPr>
      <w:color w:val="605E5C"/>
      <w:shd w:val="clear" w:color="auto" w:fill="E1DFDD"/>
    </w:rPr>
  </w:style>
  <w:style w:type="paragraph" w:styleId="Rvision">
    <w:name w:val="Revision"/>
    <w:hidden/>
    <w:uiPriority w:val="99"/>
    <w:semiHidden/>
    <w:rsid w:val="00765D7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style>
  <w:style w:type="character" w:customStyle="1" w:styleId="En-tteCar">
    <w:name w:val="En-tête Car"/>
    <w:basedOn w:val="Policepardfaut"/>
    <w:link w:val="En-tte"/>
    <w:uiPriority w:val="99"/>
    <w:rsid w:val="00765D7E"/>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Quantifier-pour-transform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81042C-D8C5-1B4D-9926-51EBE159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8</Pages>
  <Words>2746</Words>
  <Characters>15103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2021-11-16T07:47:00Z</dcterms:created>
  <dcterms:modified xsi:type="dcterms:W3CDTF">2021-11-16T07:55:00Z</dcterms:modified>
</cp:coreProperties>
</file>