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3BAE" w14:textId="77777777" w:rsidR="0063372A" w:rsidRDefault="0063372A" w:rsidP="0063372A">
      <w:pPr>
        <w:outlineLvl w:val="0"/>
        <w:rPr>
          <w:rFonts w:ascii="Times" w:hAnsi="Times"/>
        </w:rPr>
      </w:pPr>
    </w:p>
    <w:p w14:paraId="58C73ED4" w14:textId="6E234414" w:rsidR="00E75C6B" w:rsidRPr="008D3DF4" w:rsidRDefault="0093407E" w:rsidP="00E75C6B">
      <w:pPr>
        <w:pStyle w:val="VDITitre"/>
      </w:pPr>
      <w:r>
        <w:t>La vocation libérale du bureaucrate</w:t>
      </w:r>
    </w:p>
    <w:p w14:paraId="6382B044" w14:textId="4E4018DF" w:rsidR="0093407E" w:rsidRPr="008F0A28" w:rsidRDefault="008B1967" w:rsidP="008F0A28">
      <w:pPr>
        <w:pStyle w:val="VDIAuteur"/>
      </w:pPr>
      <w:r w:rsidRPr="008F0A28">
        <w:t>p</w:t>
      </w:r>
      <w:r w:rsidR="00E75C6B" w:rsidRPr="008F0A28">
        <w:t xml:space="preserve">ar </w:t>
      </w:r>
      <w:r w:rsidR="0093407E" w:rsidRPr="008F0A28">
        <w:t xml:space="preserve">Antoine </w:t>
      </w:r>
      <w:proofErr w:type="spellStart"/>
      <w:r w:rsidR="0093407E" w:rsidRPr="008F0A28">
        <w:t>Verret</w:t>
      </w:r>
      <w:proofErr w:type="spellEnd"/>
      <w:r w:rsidR="0093407E" w:rsidRPr="008F0A28">
        <w:t>-Hamelin</w:t>
      </w:r>
      <w:bookmarkStart w:id="0" w:name="_GoBack"/>
      <w:bookmarkEnd w:id="0"/>
    </w:p>
    <w:p w14:paraId="01BD255F" w14:textId="160E9D70" w:rsidR="0093407E" w:rsidRDefault="0093407E" w:rsidP="0093407E">
      <w:pPr>
        <w:pStyle w:val="VDIChapo"/>
      </w:pPr>
      <w:r w:rsidRPr="006A23A7">
        <w:t xml:space="preserve">Les </w:t>
      </w:r>
      <w:proofErr w:type="spellStart"/>
      <w:r w:rsidRPr="006A23A7">
        <w:t>administrations</w:t>
      </w:r>
      <w:proofErr w:type="spellEnd"/>
      <w:r w:rsidRPr="006A23A7">
        <w:t xml:space="preserve"> </w:t>
      </w:r>
      <w:proofErr w:type="spellStart"/>
      <w:r w:rsidRPr="006A23A7">
        <w:t>publiques</w:t>
      </w:r>
      <w:proofErr w:type="spellEnd"/>
      <w:r w:rsidRPr="006A23A7">
        <w:t xml:space="preserve">, </w:t>
      </w:r>
      <w:proofErr w:type="spellStart"/>
      <w:r w:rsidRPr="006A23A7">
        <w:t>imposantes</w:t>
      </w:r>
      <w:proofErr w:type="spellEnd"/>
      <w:r w:rsidRPr="006A23A7">
        <w:t xml:space="preserve"> en taille et en pouvoirs discrétionnaires, peuvent-elle avoir une forme de légitimité politique? </w:t>
      </w:r>
      <w:proofErr w:type="spellStart"/>
      <w:r w:rsidRPr="006A23A7">
        <w:t>Oui</w:t>
      </w:r>
      <w:proofErr w:type="spellEnd"/>
      <w:r w:rsidRPr="006A23A7">
        <w:t xml:space="preserve">, </w:t>
      </w:r>
      <w:proofErr w:type="spellStart"/>
      <w:r w:rsidRPr="006A23A7">
        <w:t>pourvu</w:t>
      </w:r>
      <w:proofErr w:type="spellEnd"/>
      <w:r w:rsidRPr="006A23A7">
        <w:t xml:space="preserve"> </w:t>
      </w:r>
      <w:proofErr w:type="spellStart"/>
      <w:r w:rsidR="0071584B">
        <w:t>qu’elle</w:t>
      </w:r>
      <w:proofErr w:type="spellEnd"/>
      <w:r w:rsidR="0071584B">
        <w:t xml:space="preserve"> </w:t>
      </w:r>
      <w:proofErr w:type="spellStart"/>
      <w:r w:rsidR="0071584B">
        <w:t>protègent</w:t>
      </w:r>
      <w:proofErr w:type="spellEnd"/>
      <w:r w:rsidRPr="006A23A7">
        <w:t xml:space="preserve"> les principes </w:t>
      </w:r>
      <w:proofErr w:type="spellStart"/>
      <w:r w:rsidRPr="006A23A7">
        <w:t>fondateurs</w:t>
      </w:r>
      <w:proofErr w:type="spellEnd"/>
      <w:r w:rsidRPr="006A23A7">
        <w:t xml:space="preserve"> du libéralisme. </w:t>
      </w:r>
    </w:p>
    <w:p w14:paraId="481DC7A7" w14:textId="76004AD4" w:rsidR="0093407E" w:rsidRPr="008F0A28" w:rsidRDefault="00E75C6B" w:rsidP="0094645F">
      <w:pPr>
        <w:pStyle w:val="VDIRecens"/>
        <w:rPr>
          <w:lang w:val="en-US"/>
        </w:rPr>
      </w:pPr>
      <w:r w:rsidRPr="0094645F">
        <w:t>À propos de :</w:t>
      </w:r>
      <w:r w:rsidR="00E23705" w:rsidRPr="0094645F">
        <w:t xml:space="preserve"> </w:t>
      </w:r>
      <w:r w:rsidR="0093407E" w:rsidRPr="0094645F">
        <w:t xml:space="preserve">Joseph Heath, </w:t>
      </w:r>
      <w:r w:rsidR="0093407E" w:rsidRPr="0094645F">
        <w:rPr>
          <w:i/>
        </w:rPr>
        <w:t xml:space="preserve">The </w:t>
      </w:r>
      <w:proofErr w:type="spellStart"/>
      <w:r w:rsidR="0093407E" w:rsidRPr="0094645F">
        <w:rPr>
          <w:i/>
        </w:rPr>
        <w:t>Machinery</w:t>
      </w:r>
      <w:proofErr w:type="spellEnd"/>
      <w:r w:rsidR="0093407E" w:rsidRPr="0094645F">
        <w:rPr>
          <w:i/>
        </w:rPr>
        <w:t xml:space="preserve"> of </w:t>
      </w:r>
      <w:proofErr w:type="spellStart"/>
      <w:r w:rsidR="0093407E" w:rsidRPr="0094645F">
        <w:rPr>
          <w:i/>
        </w:rPr>
        <w:t>Government</w:t>
      </w:r>
      <w:proofErr w:type="spellEnd"/>
      <w:r w:rsidR="0093407E" w:rsidRPr="0094645F">
        <w:rPr>
          <w:i/>
        </w:rPr>
        <w:t xml:space="preserve">. </w:t>
      </w:r>
      <w:r w:rsidR="0093407E" w:rsidRPr="008F0A28">
        <w:rPr>
          <w:i/>
          <w:lang w:val="en-US"/>
        </w:rPr>
        <w:t>Public administration and the Liberal State</w:t>
      </w:r>
      <w:r w:rsidR="0093407E" w:rsidRPr="008F0A28">
        <w:rPr>
          <w:lang w:val="en-US"/>
        </w:rPr>
        <w:t>, Oxford University Press</w:t>
      </w:r>
      <w:r w:rsidR="0071584B" w:rsidRPr="008F0A28">
        <w:rPr>
          <w:lang w:val="en-US"/>
        </w:rPr>
        <w:t>, 2020, 444 p.</w:t>
      </w:r>
    </w:p>
    <w:p w14:paraId="39812969" w14:textId="65CDCC24" w:rsidR="0093407E" w:rsidRPr="000743EE" w:rsidRDefault="0093407E" w:rsidP="0093407E">
      <w:pPr>
        <w:pStyle w:val="Corps"/>
      </w:pPr>
      <w:r w:rsidRPr="000743EE">
        <w:t>Dans son nouvel ouvrage</w:t>
      </w:r>
      <w:r w:rsidR="0094645F">
        <w:t>,</w:t>
      </w:r>
      <w:r w:rsidRPr="000743EE">
        <w:t xml:space="preserve"> </w:t>
      </w:r>
      <w:r w:rsidRPr="000743EE">
        <w:rPr>
          <w:i/>
        </w:rPr>
        <w:t xml:space="preserve">The </w:t>
      </w:r>
      <w:proofErr w:type="spellStart"/>
      <w:r w:rsidRPr="000743EE">
        <w:rPr>
          <w:i/>
        </w:rPr>
        <w:t>Machinery</w:t>
      </w:r>
      <w:proofErr w:type="spellEnd"/>
      <w:r w:rsidRPr="000743EE">
        <w:rPr>
          <w:i/>
        </w:rPr>
        <w:t xml:space="preserve"> of </w:t>
      </w:r>
      <w:proofErr w:type="spellStart"/>
      <w:r w:rsidRPr="000743EE">
        <w:rPr>
          <w:i/>
        </w:rPr>
        <w:t>Government</w:t>
      </w:r>
      <w:proofErr w:type="spellEnd"/>
      <w:r w:rsidRPr="000743EE">
        <w:t>, Joseph Heath, professeur de philosophie à l’Université de Toronto, tente de résoudre un problème embarrassant pour la philosophie politique contemporaine. Pourquoi, alors que l’administration des États démocratiques n’a cessé de croître depuis la fin du XIXe siècle, les théories normatives de la démocratie s’en désintéressent-elles au point d’être incapables de rendre compte</w:t>
      </w:r>
      <w:r>
        <w:t xml:space="preserve"> de sa légitimité spécifique ?</w:t>
      </w:r>
    </w:p>
    <w:p w14:paraId="2B1E6F85" w14:textId="77777777" w:rsidR="0093407E" w:rsidRPr="006A23A7" w:rsidRDefault="0093407E" w:rsidP="0093407E">
      <w:pPr>
        <w:pStyle w:val="Corps"/>
      </w:pPr>
      <w:r>
        <w:t>De façon générale, les</w:t>
      </w:r>
      <w:r w:rsidRPr="006A23A7">
        <w:t xml:space="preserve"> théorie</w:t>
      </w:r>
      <w:r>
        <w:t>s normatives de la démocratie</w:t>
      </w:r>
      <w:r w:rsidRPr="006A23A7">
        <w:t xml:space="preserve"> </w:t>
      </w:r>
      <w:r>
        <w:t xml:space="preserve">se </w:t>
      </w:r>
      <w:r w:rsidRPr="006A23A7">
        <w:t>concentre</w:t>
      </w:r>
      <w:r>
        <w:t>nt sur le pouvoir législatif</w:t>
      </w:r>
      <w:r w:rsidRPr="006A23A7">
        <w:t xml:space="preserve"> et sa légitimité élective, et voi</w:t>
      </w:r>
      <w:r>
        <w:t>en</w:t>
      </w:r>
      <w:r w:rsidRPr="006A23A7">
        <w:t xml:space="preserve">t </w:t>
      </w:r>
      <w:r>
        <w:t>le pouvoir exécutif</w:t>
      </w:r>
      <w:r w:rsidRPr="006A23A7">
        <w:t xml:space="preserve"> </w:t>
      </w:r>
      <w:r>
        <w:t xml:space="preserve">au mieux comme ayant </w:t>
      </w:r>
      <w:r w:rsidRPr="006A23A7">
        <w:t>un rôle subordonné de mise en œuvre loyale des volontés</w:t>
      </w:r>
      <w:r>
        <w:t xml:space="preserve"> du législateur, au pire comme le lieu de la concentration d’un pouvoir bureaucratique contraire à l’autodétermination démocratique</w:t>
      </w:r>
      <w:r w:rsidRPr="006A23A7">
        <w:t xml:space="preserve">. </w:t>
      </w:r>
      <w:r>
        <w:t xml:space="preserve">La première </w:t>
      </w:r>
      <w:r w:rsidRPr="006A23A7">
        <w:t>conception est lacunaire</w:t>
      </w:r>
      <w:r>
        <w:t>, selon Heath</w:t>
      </w:r>
      <w:r w:rsidRPr="006A23A7">
        <w:t xml:space="preserve">, car l’administration publique possède en réalité d’importants pouvoirs et une indépendance significative face au gouvernement élu. Ce pouvoir et cette autonomie </w:t>
      </w:r>
      <w:r>
        <w:t>prennent différentes formes </w:t>
      </w:r>
      <w:r w:rsidRPr="006A23A7">
        <w:t xml:space="preserve">: </w:t>
      </w:r>
      <w:r>
        <w:t>modernisation des lois à l’initiative des ministères</w:t>
      </w:r>
      <w:r w:rsidRPr="006A23A7">
        <w:t xml:space="preserve">, </w:t>
      </w:r>
      <w:r>
        <w:lastRenderedPageBreak/>
        <w:t>agences partiellement</w:t>
      </w:r>
      <w:r w:rsidRPr="006A23A7">
        <w:t xml:space="preserve"> indépendantes du gouvernement</w:t>
      </w:r>
      <w:r>
        <w:t xml:space="preserve"> élu</w:t>
      </w:r>
      <w:r w:rsidRPr="006A23A7">
        <w:t xml:space="preserve">, marge de manœuvre discrétionnaire des </w:t>
      </w:r>
      <w:r>
        <w:t>fonctionnaires</w:t>
      </w:r>
      <w:r w:rsidRPr="006A23A7">
        <w:t xml:space="preserve"> dans la mise en œuvre des </w:t>
      </w:r>
      <w:r>
        <w:t>lois</w:t>
      </w:r>
      <w:r w:rsidRPr="006A23A7">
        <w:t>, et ainsi de suite.</w:t>
      </w:r>
      <w:r>
        <w:t xml:space="preserve"> On notera donc que l’objet de recherche examiné est extrêmement large, et regroupe à la fois les hauts fonctionnaires et autres employés de l’État, les banques centrales et les entreprises publiques, et même l’armée et les corps policiers. </w:t>
      </w:r>
    </w:p>
    <w:p w14:paraId="49A91B01" w14:textId="69123EC4" w:rsidR="0093407E" w:rsidRPr="006A23A7" w:rsidRDefault="0093407E" w:rsidP="0093407E">
      <w:pPr>
        <w:pStyle w:val="Corps"/>
      </w:pPr>
      <w:r>
        <w:t>Heath se propose de modéliser un type spécifique d’administration publique, propre au système de Westminster. S</w:t>
      </w:r>
      <w:r w:rsidRPr="006A23A7">
        <w:t>es exemples sont principalement puisés dans la démocratie canadienne</w:t>
      </w:r>
      <w:r>
        <w:t>,</w:t>
      </w:r>
      <w:r w:rsidRPr="006A23A7">
        <w:t xml:space="preserve"> où les hauts fonctionnaires sont permanents, contrairement par exemple </w:t>
      </w:r>
      <w:r>
        <w:t>à la</w:t>
      </w:r>
      <w:r w:rsidRPr="006A23A7">
        <w:t xml:space="preserve"> démocrati</w:t>
      </w:r>
      <w:r>
        <w:t>e</w:t>
      </w:r>
      <w:r w:rsidRPr="006A23A7">
        <w:t xml:space="preserve"> </w:t>
      </w:r>
      <w:r>
        <w:t>états-unienne</w:t>
      </w:r>
      <w:r w:rsidRPr="006A23A7">
        <w:t xml:space="preserve"> où ces derniers sont remplacés </w:t>
      </w:r>
      <w:r>
        <w:t>lors d’un changement de gouvernement</w:t>
      </w:r>
      <w:r w:rsidRPr="006A23A7">
        <w:t>. Cette permanence des hauts fonctionnaires contribue selon Heath à la « rationalité » de l’État, au sens où l’administration publique aide l’action gouvernementale à être plus cohérente, prévoyante, informée, constitutionnelle, indépendante des pressions externes et tournée vers l’intérêt public (p.</w:t>
      </w:r>
      <w:r w:rsidR="00775163">
        <w:t> </w:t>
      </w:r>
      <w:r w:rsidRPr="006A23A7">
        <w:t>24-27). Cela donne une raison</w:t>
      </w:r>
      <w:r>
        <w:t xml:space="preserve"> </w:t>
      </w:r>
      <w:r w:rsidRPr="00276E94">
        <w:rPr>
          <w:i/>
        </w:rPr>
        <w:t xml:space="preserve">prima </w:t>
      </w:r>
      <w:proofErr w:type="spellStart"/>
      <w:r w:rsidRPr="00276E94">
        <w:rPr>
          <w:i/>
        </w:rPr>
        <w:t>facie</w:t>
      </w:r>
      <w:proofErr w:type="spellEnd"/>
      <w:r w:rsidRPr="006A23A7">
        <w:t xml:space="preserve"> de ne pas condamner précipitamment les pouvoirs étendus de </w:t>
      </w:r>
      <w:r>
        <w:t>la bureaucratie de l’État</w:t>
      </w:r>
      <w:r w:rsidRPr="006A23A7">
        <w:t xml:space="preserve"> comme démocratiquement illégitimes. Heath tente </w:t>
      </w:r>
      <w:r>
        <w:t>ainsi de déterminer quels principes</w:t>
      </w:r>
      <w:r w:rsidRPr="006A23A7">
        <w:t xml:space="preserve"> doivent orienter l’administration publique de manière à lui conférer une légitimité propre.</w:t>
      </w:r>
      <w:r>
        <w:t xml:space="preserve"> Pour ce faire, Heath adopte une approche </w:t>
      </w:r>
      <w:r w:rsidRPr="006A23A7">
        <w:t>« reconstructive »</w:t>
      </w:r>
      <w:r>
        <w:t xml:space="preserve"> (p.</w:t>
      </w:r>
      <w:r w:rsidR="00775163">
        <w:t> </w:t>
      </w:r>
      <w:r>
        <w:t>ix)</w:t>
      </w:r>
      <w:r w:rsidRPr="006A23A7">
        <w:t>, à cheval entre l’analyse normative et la reconstruction historique des raisons qui ont mené au développement de l’administration publique.</w:t>
      </w:r>
    </w:p>
    <w:p w14:paraId="32F29380" w14:textId="77777777" w:rsidR="0093407E" w:rsidRPr="006A23A7" w:rsidRDefault="0093407E" w:rsidP="0093407E">
      <w:pPr>
        <w:pStyle w:val="VDIIntertitre"/>
      </w:pPr>
      <w:r>
        <w:t xml:space="preserve">Démocratie ou </w:t>
      </w:r>
      <w:proofErr w:type="gramStart"/>
      <w:r>
        <w:t>libéralisme?</w:t>
      </w:r>
      <w:proofErr w:type="gramEnd"/>
      <w:r w:rsidRPr="006A23A7">
        <w:t xml:space="preserve"> </w:t>
      </w:r>
    </w:p>
    <w:p w14:paraId="1F11630E" w14:textId="46F94FC1" w:rsidR="0093407E" w:rsidRDefault="0093407E" w:rsidP="0093407E">
      <w:pPr>
        <w:pStyle w:val="Corps"/>
      </w:pPr>
      <w:r>
        <w:t>On sait que la démocratie libérale repose sur la séparation des pouvoirs législatif, exécutif et judiciaire. Or, d’après Heath, ces trois pouvoirs ne tirent pas leur légitimité de la même source</w:t>
      </w:r>
      <w:r w:rsidRPr="006A23A7">
        <w:t>.</w:t>
      </w:r>
      <w:r>
        <w:t xml:space="preserve"> Le pouvoir législatif</w:t>
      </w:r>
      <w:r w:rsidRPr="006A23A7">
        <w:t xml:space="preserve"> </w:t>
      </w:r>
      <w:r>
        <w:t>jouit d’une légitimité « démocratique » dans la mesure où elle incarne la volonté de la majorité par voie électorale (suivant une définition plutôt minimaliste et procédurale de la démocratie que Heath semble faire sienne). Dans le modèle de Westminster, les pouvoirs judicaire et exécutif n’ont pas réellement de responsabilité électorale – ni les juges ni les fonctionnaires ne sont soumis à des élections périodiques – mais se prévalent d’une légitimité distincte (nous y reviendrons). L’équilibre entre ces trois pouvoirs crée alors une « tension productive » (p. 31) qui permet à la démocratie libérale de se limiter elle-même et d’éviter autant que possible les dérives iniques ou liberticides des pouvoirs publics.</w:t>
      </w:r>
    </w:p>
    <w:p w14:paraId="39855D1D" w14:textId="62440A77" w:rsidR="0093407E" w:rsidRPr="00CD03D0" w:rsidRDefault="0093407E" w:rsidP="00CD03D0">
      <w:pPr>
        <w:pStyle w:val="Corps"/>
      </w:pPr>
      <w:r w:rsidRPr="006A23A7">
        <w:lastRenderedPageBreak/>
        <w:t xml:space="preserve">Alors que plusieurs souhaiteraient une </w:t>
      </w:r>
      <w:r w:rsidRPr="006A23A7">
        <w:rPr>
          <w:i/>
        </w:rPr>
        <w:t>démocratisation</w:t>
      </w:r>
      <w:r w:rsidRPr="006A23A7">
        <w:t xml:space="preserve"> de l’administration publique, l’auteur </w:t>
      </w:r>
      <w:r>
        <w:t>voit d’un œil critique les mécanismes qui favorisent la participation citoyenne (p.72-78), redoutant que les citoyens, mal informés, soient manipulés par les experts ou cèdent à la pression de groupes d’intérêts économiques. Les craintes de l’auteur peuvent sembler exagérées, car si ces risques sont bien réels, les expériences participatives menées dans les vingt dernières années à travers le monde ont inventé les moyens de les réduire</w:t>
      </w:r>
      <w:r>
        <w:rPr>
          <w:rStyle w:val="Appelnotedebasdep"/>
          <w:rFonts w:ascii="Times New Roman" w:hAnsi="Times New Roman" w:cs="Times New Roman"/>
        </w:rPr>
        <w:footnoteReference w:id="1"/>
      </w:r>
      <w:r>
        <w:t>. Quoi qu’il en soit, Heath défend plutôt un modèle « vocationnel »</w:t>
      </w:r>
      <w:r w:rsidRPr="006A23A7">
        <w:t xml:space="preserve"> </w:t>
      </w:r>
      <w:r>
        <w:t xml:space="preserve">où </w:t>
      </w:r>
      <w:r w:rsidRPr="006A23A7">
        <w:t>l’appareil bureaucratique</w:t>
      </w:r>
      <w:r>
        <w:t xml:space="preserve"> est vu</w:t>
      </w:r>
      <w:r w:rsidRPr="006A23A7">
        <w:t xml:space="preserve"> comme légitime dans la mesure où il défend convenablement les principes fondamentaux du </w:t>
      </w:r>
      <w:r w:rsidRPr="006A23A7">
        <w:rPr>
          <w:i/>
        </w:rPr>
        <w:t>libéralisme</w:t>
      </w:r>
      <w:r w:rsidRPr="006A23A7">
        <w:t xml:space="preserve"> politique</w:t>
      </w:r>
      <w:r>
        <w:t>, soit l’efficience, l’égalité et la liberté.</w:t>
      </w:r>
    </w:p>
    <w:p w14:paraId="4C51FF1F" w14:textId="77777777" w:rsidR="0093407E" w:rsidRPr="006A23A7" w:rsidRDefault="0093407E" w:rsidP="0093407E">
      <w:pPr>
        <w:pStyle w:val="VDIIntertitre"/>
      </w:pPr>
      <w:r w:rsidRPr="006A23A7">
        <w:t>Le principe phare du libéralisme… et de l’administration publique</w:t>
      </w:r>
    </w:p>
    <w:p w14:paraId="00B51D16" w14:textId="6682E789" w:rsidR="0093407E" w:rsidRPr="006A23A7" w:rsidRDefault="0093407E" w:rsidP="0093407E">
      <w:pPr>
        <w:pStyle w:val="Corps"/>
      </w:pPr>
      <w:r>
        <w:t>S</w:t>
      </w:r>
      <w:r w:rsidRPr="006A23A7">
        <w:t xml:space="preserve">elon Heath, ce n’est </w:t>
      </w:r>
      <w:r>
        <w:t>pas</w:t>
      </w:r>
      <w:r w:rsidRPr="006A23A7">
        <w:t xml:space="preserve"> au nom de la justice </w:t>
      </w:r>
      <w:r>
        <w:t xml:space="preserve">sociale ni </w:t>
      </w:r>
      <w:r w:rsidRPr="006A23A7">
        <w:t xml:space="preserve">en vue de protéger </w:t>
      </w:r>
      <w:r>
        <w:t>certains</w:t>
      </w:r>
      <w:r w:rsidRPr="006A23A7">
        <w:t xml:space="preserve"> biens et services de la </w:t>
      </w:r>
      <w:r>
        <w:t>marchandisation</w:t>
      </w:r>
      <w:r w:rsidRPr="006A23A7">
        <w:t xml:space="preserve"> que se sont développés les multiples programmes et activités régulatrices de l’État-providence, mais plutôt au nom de l’efficience.</w:t>
      </w:r>
      <w:r>
        <w:t xml:space="preserve"> </w:t>
      </w:r>
      <w:r w:rsidRPr="006A23A7">
        <w:t xml:space="preserve">L’efficience consiste à vouloir maximiser les bénéfices de la coopération sociale. Plus précisément, l’efficience comprise au sens de Pareto </w:t>
      </w:r>
      <w:r>
        <w:t>renvoie</w:t>
      </w:r>
      <w:r w:rsidRPr="006A23A7">
        <w:t xml:space="preserve"> aux</w:t>
      </w:r>
      <w:r>
        <w:t xml:space="preserve"> mesures et dispositifs</w:t>
      </w:r>
      <w:r w:rsidRPr="006A23A7">
        <w:t xml:space="preserve"> qui permettent d’améliorer la situation d’au moins une personne sans dégrader celle </w:t>
      </w:r>
      <w:r>
        <w:t xml:space="preserve">de </w:t>
      </w:r>
      <w:r w:rsidRPr="006A23A7">
        <w:t>quiconque. Cet aspect « gagnant-gagnant » fait du principe d’efficience le moins controversé et le plus minimaliste des principes libéraux</w:t>
      </w:r>
      <w:r>
        <w:t>, selon Heath</w:t>
      </w:r>
      <w:r w:rsidRPr="006A23A7">
        <w:t xml:space="preserve">. </w:t>
      </w:r>
      <w:r>
        <w:t xml:space="preserve">L’institution des contrats et de la propriété, par exemple, obéit au principe d’efficience : </w:t>
      </w:r>
      <w:r w:rsidRPr="006A23A7">
        <w:t>leur valeur provient de leur capacité à générer des gains parétiens (p.</w:t>
      </w:r>
      <w:r w:rsidR="00775163">
        <w:t> </w:t>
      </w:r>
      <w:r w:rsidRPr="006A23A7">
        <w:t>145)</w:t>
      </w:r>
      <w:r>
        <w:t>. Mais sitôt que des échecs de marché</w:t>
      </w:r>
      <w:r w:rsidRPr="006A23A7">
        <w:t xml:space="preserve"> font obstacle à ces gains, par exemple dans le cas de monopoles où d’externalités négatives, il devient justifié </w:t>
      </w:r>
      <w:r>
        <w:t>que</w:t>
      </w:r>
      <w:r w:rsidRPr="006A23A7">
        <w:t xml:space="preserve"> l’État </w:t>
      </w:r>
      <w:r>
        <w:t xml:space="preserve">intervienne </w:t>
      </w:r>
      <w:r w:rsidRPr="006A23A7">
        <w:t xml:space="preserve">afin de corriger </w:t>
      </w:r>
      <w:r>
        <w:t>ces</w:t>
      </w:r>
      <w:r w:rsidRPr="006A23A7">
        <w:t xml:space="preserve"> défaillances économiques. Ainsi s’étend l’i</w:t>
      </w:r>
      <w:r>
        <w:t>ntervention légitime de l’État</w:t>
      </w:r>
      <w:r w:rsidRPr="006A23A7">
        <w:t xml:space="preserve"> : si </w:t>
      </w:r>
      <w:r>
        <w:t xml:space="preserve">un réseau routier, un système d’éducation accessible, </w:t>
      </w:r>
      <w:r w:rsidRPr="006A23A7">
        <w:t>une assurance santé universelle</w:t>
      </w:r>
      <w:r>
        <w:t xml:space="preserve">, </w:t>
      </w:r>
      <w:r w:rsidRPr="006A23A7">
        <w:t>une assurance chômage</w:t>
      </w:r>
      <w:r>
        <w:t xml:space="preserve"> ou </w:t>
      </w:r>
      <w:r w:rsidRPr="006A23A7">
        <w:t xml:space="preserve">un environnement sain s’avère mutuellement bénéfique pour les membres de la population, et </w:t>
      </w:r>
      <w:r>
        <w:t>si</w:t>
      </w:r>
      <w:r w:rsidRPr="006A23A7">
        <w:t xml:space="preserve"> l’économie de marché est incapable de </w:t>
      </w:r>
      <w:r>
        <w:t>produire ou distribuer correctement ces biens</w:t>
      </w:r>
      <w:r w:rsidRPr="006A23A7">
        <w:t xml:space="preserve">, l’État a toutes </w:t>
      </w:r>
      <w:r w:rsidRPr="006A23A7">
        <w:lastRenderedPageBreak/>
        <w:t xml:space="preserve">les raisons de </w:t>
      </w:r>
      <w:r>
        <w:t xml:space="preserve">les </w:t>
      </w:r>
      <w:r w:rsidRPr="006A23A7">
        <w:t xml:space="preserve">fournir lui-même. </w:t>
      </w:r>
      <w:r>
        <w:t>C’est ce phénomène qui explique</w:t>
      </w:r>
      <w:r w:rsidRPr="006A23A7">
        <w:t xml:space="preserve"> la</w:t>
      </w:r>
      <w:r>
        <w:t xml:space="preserve"> taille et la complexité croissant</w:t>
      </w:r>
      <w:r w:rsidRPr="006A23A7">
        <w:t xml:space="preserve">e des bureaucraties au </w:t>
      </w:r>
      <w:r>
        <w:t>cours</w:t>
      </w:r>
      <w:r w:rsidRPr="006A23A7">
        <w:t xml:space="preserve"> du XX</w:t>
      </w:r>
      <w:r w:rsidRPr="006A23A7">
        <w:rPr>
          <w:vertAlign w:val="superscript"/>
        </w:rPr>
        <w:t>e</w:t>
      </w:r>
      <w:r w:rsidRPr="006A23A7">
        <w:t xml:space="preserve"> siècle. </w:t>
      </w:r>
    </w:p>
    <w:p w14:paraId="3F2979C8" w14:textId="77777777" w:rsidR="0093407E" w:rsidRPr="006A23A7" w:rsidRDefault="0093407E" w:rsidP="0093407E">
      <w:pPr>
        <w:pStyle w:val="Corps"/>
      </w:pPr>
      <w:r w:rsidRPr="006A23A7">
        <w:t>C’est en raison de ce même principe que les analyses coûts-bénéfices (CBA) sont devenues si communes dans les administrations publiques,</w:t>
      </w:r>
      <w:r>
        <w:t xml:space="preserve"> d’après Heath :</w:t>
      </w:r>
      <w:r w:rsidRPr="006A23A7">
        <w:t xml:space="preserve"> ces analyses révèlent </w:t>
      </w:r>
      <w:r>
        <w:t>ce sur quoi</w:t>
      </w:r>
      <w:r w:rsidRPr="006A23A7">
        <w:t xml:space="preserve"> les parties concernées </w:t>
      </w:r>
      <w:r>
        <w:t>se seraient</w:t>
      </w:r>
      <w:r w:rsidRPr="006A23A7">
        <w:t xml:space="preserve"> </w:t>
      </w:r>
      <w:r>
        <w:t>entendues</w:t>
      </w:r>
      <w:r w:rsidRPr="006A23A7">
        <w:t xml:space="preserve"> en l’absence de défaillances de marché.</w:t>
      </w:r>
      <w:r>
        <w:t xml:space="preserve"> Pour l’auteur, u</w:t>
      </w:r>
      <w:r w:rsidRPr="006A23A7">
        <w:t xml:space="preserve">ne CBA </w:t>
      </w:r>
      <w:r>
        <w:t>promeut</w:t>
      </w:r>
      <w:r w:rsidRPr="006A23A7">
        <w:t xml:space="preserve"> donc le principe d’efficience, mais elle incarne également une forme de neutralité et d’égalité, puisqu’elle accorde une valeur </w:t>
      </w:r>
      <w:r>
        <w:t>équivalente</w:t>
      </w:r>
      <w:r w:rsidRPr="006A23A7">
        <w:t xml:space="preserve"> à toutes les préférences individuelles, sans se prononcer sur leur </w:t>
      </w:r>
      <w:r>
        <w:t>mérite respectif. Imaginons par exemple qu’une municipalité conduise une analyse coûts-bénéfices pour décider s’il convient de vendre un espace municipal vacant à un développeur immobilier ou d’y créer un parc public. La CBA n’exprimera aucun jugement moral sur la valeur des préférences en jeu, celles du promoteur immobilier et celles des résidents du quartier seront comptabilisées de la même manière. Elles seront traduites en valeur monétaire afin de disposer d’une métrique commune de calcul, et si plusieurs résidents attribuent une grande valeur monétaire à la création d’un parc public, ces « bénéfices » pourraient l’emporter sur ceux que le promoteur associe à l’exploitation privée de l’espace en question</w:t>
      </w:r>
      <w:r w:rsidRPr="006A23A7">
        <w:t>.</w:t>
      </w:r>
    </w:p>
    <w:p w14:paraId="3531CE9E" w14:textId="5E5EF467" w:rsidR="0093407E" w:rsidRPr="006A23A7" w:rsidRDefault="0093407E" w:rsidP="0093407E">
      <w:pPr>
        <w:pStyle w:val="Corps"/>
      </w:pPr>
      <w:r w:rsidRPr="006A23A7">
        <w:t xml:space="preserve">Heath consacre de nombreuses pages à </w:t>
      </w:r>
      <w:r>
        <w:t>réfuter les objections communément</w:t>
      </w:r>
      <w:r w:rsidRPr="006A23A7">
        <w:t xml:space="preserve"> adressées aux CBA et à montrer leur grande flexibilité. </w:t>
      </w:r>
      <w:r>
        <w:t>L</w:t>
      </w:r>
      <w:r w:rsidRPr="006A23A7">
        <w:t>es CBA « intégrée</w:t>
      </w:r>
      <w:r>
        <w:t>s</w:t>
      </w:r>
      <w:r w:rsidRPr="006A23A7">
        <w:t> » (</w:t>
      </w:r>
      <w:proofErr w:type="spellStart"/>
      <w:r w:rsidRPr="006A23A7">
        <w:rPr>
          <w:i/>
        </w:rPr>
        <w:t>embedded</w:t>
      </w:r>
      <w:proofErr w:type="spellEnd"/>
      <w:r w:rsidRPr="006A23A7">
        <w:t>), contrairement aux CBA « brutes » (</w:t>
      </w:r>
      <w:proofErr w:type="spellStart"/>
      <w:r w:rsidRPr="006A23A7">
        <w:rPr>
          <w:i/>
        </w:rPr>
        <w:t>bald</w:t>
      </w:r>
      <w:proofErr w:type="spellEnd"/>
      <w:r w:rsidRPr="006A23A7">
        <w:t>) (p.</w:t>
      </w:r>
      <w:r w:rsidR="00775163">
        <w:t> </w:t>
      </w:r>
      <w:r w:rsidRPr="006A23A7">
        <w:t xml:space="preserve">189), s’appliquent </w:t>
      </w:r>
      <w:r>
        <w:t>ainsi différemment selon les domaines</w:t>
      </w:r>
      <w:r w:rsidRPr="006A23A7">
        <w:t xml:space="preserve"> et sont encadrées par des « filtres » limitant leur portée, tels que des droits individuels ou autres contraintes morales (p.</w:t>
      </w:r>
      <w:r>
        <w:t> </w:t>
      </w:r>
      <w:r w:rsidRPr="006A23A7">
        <w:t xml:space="preserve">246-251). </w:t>
      </w:r>
      <w:r>
        <w:t>Par exemple, une CBA intégrée peut incorporer</w:t>
      </w:r>
      <w:r w:rsidRPr="006A23A7">
        <w:t xml:space="preserve"> </w:t>
      </w:r>
      <w:r>
        <w:t>un système de</w:t>
      </w:r>
      <w:r w:rsidRPr="006A23A7">
        <w:t xml:space="preserve"> pondération </w:t>
      </w:r>
      <w:r>
        <w:t>afin d’éviter</w:t>
      </w:r>
      <w:r w:rsidRPr="006A23A7">
        <w:t xml:space="preserve"> que les inégalités économiques</w:t>
      </w:r>
      <w:r>
        <w:t xml:space="preserve"> entre riches et pauvres</w:t>
      </w:r>
      <w:r w:rsidRPr="006A23A7">
        <w:t xml:space="preserve"> ne se répercutent dans </w:t>
      </w:r>
      <w:r>
        <w:t>l’analyse. Pour reprendre l’exemple précédent, une personne fortunée pourrait se dire prête à dépenser 1000$ pour voir la création d’un parc public, alors qu’une personne défavorisée pourrait préférer voir la création de logements sociaux, sans pouvoir dire être capable d’y consacrer le même montant. Alors qu’une CBA brute reconduirait de tels biais, une CBA intégrée peut les corriger.</w:t>
      </w:r>
    </w:p>
    <w:p w14:paraId="52D043FC" w14:textId="36CFDC11" w:rsidR="0093407E" w:rsidRPr="006A23A7" w:rsidRDefault="0093407E" w:rsidP="0093407E">
      <w:pPr>
        <w:pStyle w:val="Corps"/>
      </w:pPr>
      <w:r w:rsidRPr="006A23A7">
        <w:t xml:space="preserve">Ce chapitre est convaincant à </w:t>
      </w:r>
      <w:r>
        <w:t>certains</w:t>
      </w:r>
      <w:r w:rsidRPr="006A23A7">
        <w:t xml:space="preserve"> égards, mais</w:t>
      </w:r>
      <w:r>
        <w:t xml:space="preserve"> il</w:t>
      </w:r>
      <w:r w:rsidRPr="006A23A7">
        <w:t xml:space="preserve"> néglige deux des critiques les plus fortes que l’on </w:t>
      </w:r>
      <w:r>
        <w:t>peut</w:t>
      </w:r>
      <w:r w:rsidRPr="006A23A7">
        <w:t xml:space="preserve"> adresser aux CBA. D’abord, une CBA reste un outil </w:t>
      </w:r>
      <w:proofErr w:type="spellStart"/>
      <w:r w:rsidRPr="006A23A7">
        <w:t>anthropocentré</w:t>
      </w:r>
      <w:proofErr w:type="spellEnd"/>
      <w:r w:rsidRPr="006A23A7">
        <w:t xml:space="preserve">, aveugle au monde animal et à la valeur intrinsèque du monde naturel (pour Heath, la valeur « intrinsèque » de la nature demeure </w:t>
      </w:r>
      <w:r>
        <w:t>le produit d’une</w:t>
      </w:r>
      <w:r w:rsidRPr="006A23A7">
        <w:t xml:space="preserve"> </w:t>
      </w:r>
      <w:r w:rsidRPr="006A23A7">
        <w:rPr>
          <w:i/>
        </w:rPr>
        <w:t xml:space="preserve">évaluation humaine </w:t>
      </w:r>
      <w:r w:rsidRPr="006A23A7">
        <w:t>(p.</w:t>
      </w:r>
      <w:r w:rsidR="008F0A28">
        <w:t xml:space="preserve"> </w:t>
      </w:r>
      <w:r w:rsidRPr="006A23A7">
        <w:t xml:space="preserve">239), ce qui fera certainement sourciller </w:t>
      </w:r>
      <w:r>
        <w:t>certains écologistes</w:t>
      </w:r>
      <w:r w:rsidRPr="006A23A7">
        <w:t xml:space="preserve">). Ajoutons </w:t>
      </w:r>
      <w:r>
        <w:t>à cela</w:t>
      </w:r>
      <w:r w:rsidRPr="006A23A7">
        <w:t xml:space="preserve"> qu’une CBA </w:t>
      </w:r>
      <w:r>
        <w:t xml:space="preserve">accorde une attention exclusive au présent, négligeant les préférences </w:t>
      </w:r>
      <w:r>
        <w:lastRenderedPageBreak/>
        <w:t>d</w:t>
      </w:r>
      <w:r w:rsidRPr="006A23A7">
        <w:t>es générations futures.</w:t>
      </w:r>
      <w:r>
        <w:t xml:space="preserve"> Par exemple, la conversion d’un espace vacant en parc public qui préserverait des espaces végétalisés pourrait avoir des bienfaits pour une espèce vulnérable animale ou végétale, et pourrait également bonifier le patrimoine naturel légué aux générations futures. Mais, à moins que les personnes consultées s’intéresse</w:t>
      </w:r>
      <w:r w:rsidR="00775163">
        <w:t>nt</w:t>
      </w:r>
      <w:r>
        <w:t xml:space="preserve"> à ces enjeux, ces bénéfices ne seront pas comptabilisés dans une CBA.</w:t>
      </w:r>
    </w:p>
    <w:p w14:paraId="4715659D" w14:textId="675261C7" w:rsidR="0093407E" w:rsidRPr="00CD03D0" w:rsidRDefault="0093407E" w:rsidP="00CD03D0">
      <w:pPr>
        <w:pStyle w:val="Corps"/>
      </w:pPr>
      <w:r w:rsidRPr="006A23A7">
        <w:t xml:space="preserve">La seconde critique </w:t>
      </w:r>
      <w:r>
        <w:t>porte sur</w:t>
      </w:r>
      <w:r w:rsidRPr="006A23A7">
        <w:t xml:space="preserve"> l’aspect agrégatif des CBA. L’auteur insiste </w:t>
      </w:r>
      <w:r>
        <w:t>sur le fait que la</w:t>
      </w:r>
      <w:r w:rsidRPr="006A23A7">
        <w:t xml:space="preserve"> CBA </w:t>
      </w:r>
      <w:r>
        <w:t>obéit à</w:t>
      </w:r>
      <w:r w:rsidRPr="006A23A7">
        <w:t xml:space="preserve"> une logique d’efficience, et non</w:t>
      </w:r>
      <w:r>
        <w:t>, contrairement à l’opinion commune, à une</w:t>
      </w:r>
      <w:r w:rsidRPr="006A23A7">
        <w:t xml:space="preserve"> logique utilitariste. Toutefois, l’utilitarisme </w:t>
      </w:r>
      <w:r>
        <w:t xml:space="preserve">et </w:t>
      </w:r>
      <w:r w:rsidRPr="006A23A7">
        <w:t xml:space="preserve">la CBA visant l’efficience partagent le défaut de prendre les préférences individuelles comme </w:t>
      </w:r>
      <w:r w:rsidRPr="006A23A7">
        <w:rPr>
          <w:i/>
        </w:rPr>
        <w:t>données</w:t>
      </w:r>
      <w:r w:rsidRPr="006A23A7">
        <w:t xml:space="preserve"> et </w:t>
      </w:r>
      <w:r w:rsidRPr="006A23A7">
        <w:rPr>
          <w:i/>
        </w:rPr>
        <w:t>apolitiques</w:t>
      </w:r>
      <w:r w:rsidRPr="006A23A7">
        <w:t xml:space="preserve">, gommant la différence entre consommateur et citoyen. Or, </w:t>
      </w:r>
      <w:r>
        <w:t>l</w:t>
      </w:r>
      <w:r w:rsidRPr="006A23A7">
        <w:t xml:space="preserve">es théories délibératives de la démocratie </w:t>
      </w:r>
      <w:r>
        <w:t xml:space="preserve">nous ont appris </w:t>
      </w:r>
      <w:r w:rsidRPr="006A23A7">
        <w:t>que les préférences individuelles sont toujours façonnées par un contexte social et politique plus large, et que la délibération publique et inclusive permet à chacun – dans les bonnes circonstances – de réviser ses préférences d’une manière plus informée, empathique et responsable. En d’autres mots, une CBA laisse en dormance les potentialités de l’intelligence collective.</w:t>
      </w:r>
    </w:p>
    <w:p w14:paraId="1AE82176" w14:textId="2B9BE7BC" w:rsidR="0093407E" w:rsidRPr="006A23A7" w:rsidRDefault="0093407E" w:rsidP="0093407E">
      <w:pPr>
        <w:pStyle w:val="VDIIntertitre"/>
      </w:pPr>
      <w:r w:rsidRPr="006A23A7">
        <w:t>Quelle place pour la liberté et l’égalité</w:t>
      </w:r>
      <w:r>
        <w:t> </w:t>
      </w:r>
      <w:r w:rsidRPr="006A23A7">
        <w:t>?</w:t>
      </w:r>
    </w:p>
    <w:p w14:paraId="56587525" w14:textId="03018247" w:rsidR="0093407E" w:rsidRPr="006A23A7" w:rsidRDefault="0093407E" w:rsidP="0093407E">
      <w:pPr>
        <w:pStyle w:val="Corps"/>
      </w:pPr>
      <w:r w:rsidRPr="006A23A7">
        <w:t xml:space="preserve">Aux yeux de Heath, l’égalité est un principe plus controversé </w:t>
      </w:r>
      <w:r>
        <w:t xml:space="preserve">du libéralisme, </w:t>
      </w:r>
      <w:r w:rsidRPr="006A23A7">
        <w:t xml:space="preserve">car il </w:t>
      </w:r>
      <w:r>
        <w:t xml:space="preserve">ne </w:t>
      </w:r>
      <w:r w:rsidRPr="006A23A7">
        <w:t>concerne pas des situations mutuellement bénéfiques comme l’efficience</w:t>
      </w:r>
      <w:r>
        <w:t> </w:t>
      </w:r>
      <w:r w:rsidRPr="006A23A7">
        <w:t xml:space="preserve">; il doit plutôt </w:t>
      </w:r>
      <w:r>
        <w:t xml:space="preserve">servir à </w:t>
      </w:r>
      <w:r w:rsidRPr="006A23A7">
        <w:t xml:space="preserve">arbitrer les situations conflictuelles. En raison de ce caractère controversé, l’administration publique doit s’en tenir à </w:t>
      </w:r>
      <w:r>
        <w:t>la</w:t>
      </w:r>
      <w:r w:rsidRPr="006A23A7">
        <w:t xml:space="preserve"> conception minimaliste de l’égalité</w:t>
      </w:r>
      <w:r>
        <w:t xml:space="preserve"> qui est</w:t>
      </w:r>
      <w:r w:rsidRPr="006A23A7">
        <w:t xml:space="preserve"> implicite dans l’idée d’État de droit</w:t>
      </w:r>
      <w:r>
        <w:t xml:space="preserve"> : </w:t>
      </w:r>
      <w:r w:rsidRPr="006A23A7">
        <w:t>égalité devant la loi, prévisibilité et cohérence des décisions officielles, protection contre l’arbitraire, etc</w:t>
      </w:r>
      <w:r>
        <w:t xml:space="preserve">. Est-il souhaitable que les démocraties cherchent, </w:t>
      </w:r>
      <w:r w:rsidRPr="006A23A7">
        <w:t xml:space="preserve">par un arsenal de </w:t>
      </w:r>
      <w:r>
        <w:t>lois</w:t>
      </w:r>
      <w:r w:rsidRPr="006A23A7">
        <w:t xml:space="preserve"> et de codifications formelles, </w:t>
      </w:r>
      <w:r>
        <w:t xml:space="preserve">à </w:t>
      </w:r>
      <w:r w:rsidRPr="006A23A7">
        <w:t xml:space="preserve">éliminer la marge discrétionnaire de l’administration publique </w:t>
      </w:r>
      <w:r>
        <w:t>afin</w:t>
      </w:r>
      <w:r w:rsidRPr="006A23A7">
        <w:t xml:space="preserve"> qu’elle incarne adéquatement cet idéal</w:t>
      </w:r>
      <w:r>
        <w:t xml:space="preserve"> de l’État de droit </w:t>
      </w:r>
      <w:r w:rsidRPr="006A23A7">
        <w:t xml:space="preserve">? Heath affirme que cela est non seulement impossible, mais également indésirable. </w:t>
      </w:r>
      <w:r>
        <w:t>Quoiqu’il reconnaisse que</w:t>
      </w:r>
      <w:r w:rsidRPr="006A23A7">
        <w:t xml:space="preserve"> le pouvoir discrétionnaire des </w:t>
      </w:r>
      <w:r>
        <w:t>fonctionnaires</w:t>
      </w:r>
      <w:r w:rsidRPr="006A23A7">
        <w:t xml:space="preserve"> pose certain</w:t>
      </w:r>
      <w:r>
        <w:t>s</w:t>
      </w:r>
      <w:r w:rsidRPr="006A23A7">
        <w:t xml:space="preserve"> problème</w:t>
      </w:r>
      <w:r>
        <w:t>s</w:t>
      </w:r>
      <w:r w:rsidRPr="006A23A7">
        <w:t>, l’auteur suggère plutôt de miser sur – et de renforcer</w:t>
      </w:r>
      <w:r>
        <w:t>,</w:t>
      </w:r>
      <w:r w:rsidRPr="006A23A7">
        <w:t xml:space="preserve"> à l’aide de formations, mentorat et autres initiatives managériales – la culture organisationnelle informelle des administrations, de manière à ce que « l’ethos du secteur public » (p.</w:t>
      </w:r>
      <w:r w:rsidR="00775163">
        <w:t> </w:t>
      </w:r>
      <w:r w:rsidRPr="006A23A7">
        <w:t>278) protège l’esprit de l’État de droit</w:t>
      </w:r>
      <w:r>
        <w:t>.</w:t>
      </w:r>
    </w:p>
    <w:p w14:paraId="1A92FF02" w14:textId="77777777" w:rsidR="0093407E" w:rsidRDefault="0093407E" w:rsidP="0093407E">
      <w:pPr>
        <w:pStyle w:val="Corps"/>
      </w:pPr>
      <w:r>
        <w:lastRenderedPageBreak/>
        <w:t xml:space="preserve">La liberté est le troisième principe que doit respecter l’administration d’une démocratie libérale. Pour le montrer, Heath reprend </w:t>
      </w:r>
      <w:r w:rsidRPr="006A23A7">
        <w:t xml:space="preserve">la critique </w:t>
      </w:r>
      <w:r>
        <w:t>qu’adresse</w:t>
      </w:r>
      <w:r w:rsidRPr="006A23A7">
        <w:t xml:space="preserve"> J. S. Mill </w:t>
      </w:r>
      <w:r>
        <w:t>au paternalisme étatique et l’actualise grâce aux</w:t>
      </w:r>
      <w:r w:rsidRPr="006A23A7">
        <w:t xml:space="preserve"> outils de l’économie comportementale. Les premiers penseurs du libéralisme faisaient grand cas de la distinction entre sphères privée et publique pour cerner le domaine d’intervention légitime de l’État. Mill bouscula cette vision des choses en mettant l’emphase sur la </w:t>
      </w:r>
      <w:r w:rsidRPr="006A23A7">
        <w:rPr>
          <w:i/>
        </w:rPr>
        <w:t>justification</w:t>
      </w:r>
      <w:r w:rsidRPr="006A23A7">
        <w:t xml:space="preserve"> de l’intervention publique : il est justifié pour l’État d’user de la contrainte pour limiter un comportement si celui-ci porte atteinte à autrui, que ce comportement </w:t>
      </w:r>
      <w:r>
        <w:t>se produise</w:t>
      </w:r>
      <w:r w:rsidRPr="006A23A7">
        <w:t xml:space="preserve"> dans la sphère publique ou privée. À l’inverse, </w:t>
      </w:r>
      <w:r>
        <w:t>les</w:t>
      </w:r>
      <w:r w:rsidRPr="006A23A7">
        <w:t xml:space="preserve"> action</w:t>
      </w:r>
      <w:r>
        <w:t>s</w:t>
      </w:r>
      <w:r w:rsidRPr="006A23A7">
        <w:t xml:space="preserve"> individuelle</w:t>
      </w:r>
      <w:r>
        <w:t>s</w:t>
      </w:r>
      <w:r w:rsidRPr="006A23A7">
        <w:t xml:space="preserve"> </w:t>
      </w:r>
      <w:r>
        <w:t xml:space="preserve">qui ne font de tort à personne </w:t>
      </w:r>
      <w:r w:rsidRPr="006A23A7">
        <w:t xml:space="preserve">– </w:t>
      </w:r>
      <w:r>
        <w:t>y compris donc</w:t>
      </w:r>
      <w:r w:rsidRPr="006A23A7">
        <w:t xml:space="preserve"> </w:t>
      </w:r>
      <w:r>
        <w:t>les comportements autodestructeurs</w:t>
      </w:r>
      <w:r w:rsidRPr="006A23A7">
        <w:t xml:space="preserve"> – doi</w:t>
      </w:r>
      <w:r>
        <w:t>ven</w:t>
      </w:r>
      <w:r w:rsidRPr="006A23A7">
        <w:t>t être vue</w:t>
      </w:r>
      <w:r>
        <w:t>s</w:t>
      </w:r>
      <w:r w:rsidRPr="006A23A7">
        <w:t xml:space="preserve"> comme relevant de l’autonomie personnelle : la contrainte étatique serait </w:t>
      </w:r>
      <w:r>
        <w:t>ici paternaliste et injustifiée.</w:t>
      </w:r>
    </w:p>
    <w:p w14:paraId="144DBF27" w14:textId="584537F2" w:rsidR="0093407E" w:rsidRPr="006A23A7" w:rsidRDefault="0093407E" w:rsidP="0093407E">
      <w:pPr>
        <w:pStyle w:val="Corps"/>
      </w:pPr>
      <w:r>
        <w:t>Le domaine de l’autonomie individuelle s’est cependant considérablement étendu au cours du XX</w:t>
      </w:r>
      <w:r w:rsidRPr="004F32A1">
        <w:rPr>
          <w:vertAlign w:val="superscript"/>
        </w:rPr>
        <w:t>e</w:t>
      </w:r>
      <w:r>
        <w:t xml:space="preserve"> siècle et les possibilités de se nuire à soi-même (drogues, malbouffe, etc.) ont augmenté d’autant. </w:t>
      </w:r>
      <w:r w:rsidRPr="006A23A7">
        <w:t>De plus, l’économie comportementale et les</w:t>
      </w:r>
      <w:r>
        <w:t xml:space="preserve"> récents</w:t>
      </w:r>
      <w:r w:rsidRPr="006A23A7">
        <w:t xml:space="preserve"> travaux sur les « </w:t>
      </w:r>
      <w:proofErr w:type="spellStart"/>
      <w:r w:rsidRPr="004F32A1">
        <w:rPr>
          <w:i/>
          <w:iCs/>
        </w:rPr>
        <w:t>nudges</w:t>
      </w:r>
      <w:proofErr w:type="spellEnd"/>
      <w:r w:rsidRPr="006A23A7">
        <w:t> »</w:t>
      </w:r>
      <w:r>
        <w:rPr>
          <w:rStyle w:val="Appelnotedebasdep"/>
          <w:rFonts w:ascii="Times New Roman" w:hAnsi="Times New Roman" w:cs="Times New Roman"/>
        </w:rPr>
        <w:footnoteReference w:id="2"/>
      </w:r>
      <w:r w:rsidRPr="006A23A7">
        <w:t xml:space="preserve"> </w:t>
      </w:r>
      <w:r>
        <w:t>ont montré</w:t>
      </w:r>
      <w:r w:rsidRPr="006A23A7">
        <w:t xml:space="preserve"> </w:t>
      </w:r>
      <w:r>
        <w:t>qu’</w:t>
      </w:r>
      <w:r w:rsidRPr="006A23A7">
        <w:t xml:space="preserve">il est fréquent qu’une personne se </w:t>
      </w:r>
      <w:r>
        <w:t>cause du tort de manière irrationnelle</w:t>
      </w:r>
      <w:r w:rsidRPr="006A23A7">
        <w:t xml:space="preserve">, c’est-à-dire d’une manière qui ne </w:t>
      </w:r>
      <w:r>
        <w:t>peut</w:t>
      </w:r>
      <w:r w:rsidRPr="006A23A7">
        <w:t xml:space="preserve"> être imputée à l’autonomie personnelle, comme </w:t>
      </w:r>
      <w:r>
        <w:t>lorsqu’elle agit sur la base</w:t>
      </w:r>
      <w:r w:rsidRPr="006A23A7">
        <w:t xml:space="preserve"> de biais cognitifs ou d’</w:t>
      </w:r>
      <w:r>
        <w:t xml:space="preserve">une </w:t>
      </w:r>
      <w:r w:rsidRPr="006A23A7">
        <w:t xml:space="preserve">imprévoyance </w:t>
      </w:r>
      <w:r>
        <w:t>excessive</w:t>
      </w:r>
      <w:r w:rsidRPr="006A23A7">
        <w:t xml:space="preserve"> (</w:t>
      </w:r>
      <w:proofErr w:type="spellStart"/>
      <w:r w:rsidRPr="006A23A7">
        <w:rPr>
          <w:i/>
        </w:rPr>
        <w:t>hyperbolic</w:t>
      </w:r>
      <w:proofErr w:type="spellEnd"/>
      <w:r w:rsidRPr="006A23A7">
        <w:rPr>
          <w:i/>
        </w:rPr>
        <w:t xml:space="preserve"> </w:t>
      </w:r>
      <w:proofErr w:type="spellStart"/>
      <w:r w:rsidRPr="006A23A7">
        <w:rPr>
          <w:i/>
        </w:rPr>
        <w:t>discounting</w:t>
      </w:r>
      <w:proofErr w:type="spellEnd"/>
      <w:r w:rsidRPr="006A23A7">
        <w:rPr>
          <w:i/>
        </w:rPr>
        <w:t xml:space="preserve">, </w:t>
      </w:r>
      <w:r w:rsidRPr="006A23A7">
        <w:t>p.</w:t>
      </w:r>
      <w:r w:rsidR="008F0A28">
        <w:t xml:space="preserve"> </w:t>
      </w:r>
      <w:r w:rsidRPr="006A23A7">
        <w:t>325-333).</w:t>
      </w:r>
      <w:r>
        <w:t xml:space="preserve"> Il convient donc d’amender le principe de non-intervention </w:t>
      </w:r>
      <w:proofErr w:type="spellStart"/>
      <w:r>
        <w:t>millien</w:t>
      </w:r>
      <w:proofErr w:type="spellEnd"/>
      <w:r>
        <w:t>.</w:t>
      </w:r>
      <w:r w:rsidRPr="006A23A7">
        <w:t xml:space="preserve"> </w:t>
      </w:r>
      <w:r>
        <w:t>L</w:t>
      </w:r>
      <w:r w:rsidRPr="006A23A7">
        <w:t xml:space="preserve">’intervention </w:t>
      </w:r>
      <w:r>
        <w:t>de l’État</w:t>
      </w:r>
      <w:r w:rsidRPr="006A23A7">
        <w:t xml:space="preserve"> est légitime</w:t>
      </w:r>
      <w:r>
        <w:t>, écrit l’auteur,</w:t>
      </w:r>
      <w:r w:rsidRPr="006A23A7">
        <w:t xml:space="preserve"> si le tort causé à soi-même </w:t>
      </w:r>
      <w:r>
        <w:t xml:space="preserve">l’est </w:t>
      </w:r>
      <w:r w:rsidRPr="006A23A7">
        <w:t>de manière irrationnelle, prévisible et systématique, et si l’État peut corriger la situation de manière « douce », en modifiant l’architecture du choix sans modifier les choix eux-mêmes.</w:t>
      </w:r>
      <w:r>
        <w:t xml:space="preserve"> Par exemple, en présentant les aliments dans un ordre différent dans une cafétéria, il est possible de favoriser la consommation d’aliments sains, sans modifier les options alimentaires en elles-mêmes, et donc sans miner la liberté qu’a l’individu de consommer les aliments de son choix. </w:t>
      </w:r>
    </w:p>
    <w:p w14:paraId="05AB0354" w14:textId="77777777" w:rsidR="0093407E" w:rsidRPr="009B5F6A" w:rsidRDefault="0093407E" w:rsidP="0093407E">
      <w:pPr>
        <w:pStyle w:val="Corps"/>
      </w:pPr>
      <w:r>
        <w:t>E</w:t>
      </w:r>
      <w:r w:rsidRPr="006A23A7">
        <w:t xml:space="preserve">n </w:t>
      </w:r>
      <w:r>
        <w:t>promouvant</w:t>
      </w:r>
      <w:r w:rsidRPr="006A23A7">
        <w:t xml:space="preserve"> </w:t>
      </w:r>
      <w:r>
        <w:t>l’efficience au sens de Pareto, l’égalité incarnée dans l’État de droit et la liberté individuelle</w:t>
      </w:r>
      <w:r w:rsidRPr="006A23A7">
        <w:t xml:space="preserve">, l’administration publique ne fait </w:t>
      </w:r>
      <w:r>
        <w:t xml:space="preserve">donc </w:t>
      </w:r>
      <w:r w:rsidRPr="006A23A7">
        <w:t xml:space="preserve">pas qu’exécuter les ordres </w:t>
      </w:r>
      <w:r>
        <w:t>du pouvoir législatif</w:t>
      </w:r>
      <w:r w:rsidRPr="006A23A7">
        <w:t xml:space="preserve"> : elle </w:t>
      </w:r>
      <w:r>
        <w:t>constitue selon l’auteur un pouvoir légitime et relativement indépendant, qui peut dans certaines circonstances servir de rempart aux possibles excès d’un gouvernement démocratiquement élu</w:t>
      </w:r>
      <w:r w:rsidRPr="006A23A7">
        <w:t>.</w:t>
      </w:r>
    </w:p>
    <w:p w14:paraId="3E8BFA1F" w14:textId="7EC85FE6" w:rsidR="000B0DF2" w:rsidRPr="0093407E" w:rsidRDefault="0093407E" w:rsidP="0093407E">
      <w:pPr>
        <w:pStyle w:val="Corps"/>
        <w:rPr>
          <w:b/>
        </w:rPr>
      </w:pPr>
      <w:r w:rsidRPr="006A23A7">
        <w:lastRenderedPageBreak/>
        <w:t xml:space="preserve">Sous couvert d’une étude normative de l’administration publique, Joseph Heath nous convie à une traversée intelligente et ambitieuse du libéralisme politique, de son histoire et de ses principes fondateurs. Les thèses défendues, </w:t>
      </w:r>
      <w:r>
        <w:t>parfois</w:t>
      </w:r>
      <w:r w:rsidRPr="006A23A7">
        <w:t xml:space="preserve"> de manière très convaincante, confrontent avec force certaines de nos intuitions les plus communes concernant la démocratie et l’État-providence. Souhaitons que cette contribution à la pensée libérale, faite par l’un des philosophes politiques les plus stimulants de notre époque, trouve l’écho qu’elle mérite.</w:t>
      </w:r>
    </w:p>
    <w:p w14:paraId="0286298F" w14:textId="336EBE2B" w:rsidR="0063372A" w:rsidRDefault="0063372A" w:rsidP="0063372A">
      <w:pPr>
        <w:pStyle w:val="VDIdate"/>
      </w:pPr>
      <w:r>
        <w:t>Publié dans lavi</w:t>
      </w:r>
      <w:r w:rsidR="006E7A74">
        <w:t>e</w:t>
      </w:r>
      <w:r>
        <w:t xml:space="preserve">desidees.fr, le </w:t>
      </w:r>
      <w:r w:rsidR="00CD03D0">
        <w:t xml:space="preserve">12 </w:t>
      </w:r>
      <w:r w:rsidR="0093407E">
        <w:t>mai</w:t>
      </w:r>
      <w:r w:rsidR="00C70344">
        <w:t xml:space="preserve"> 202</w:t>
      </w:r>
      <w:r w:rsidR="00481151">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A2E6" w14:textId="77777777" w:rsidR="006E7183" w:rsidRDefault="006E7183">
      <w:r>
        <w:separator/>
      </w:r>
    </w:p>
  </w:endnote>
  <w:endnote w:type="continuationSeparator" w:id="0">
    <w:p w14:paraId="2553429C" w14:textId="77777777" w:rsidR="006E7183" w:rsidRDefault="006E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3700"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F3F2" w14:textId="77777777" w:rsidR="006E7183" w:rsidRDefault="006E7183">
      <w:r>
        <w:separator/>
      </w:r>
    </w:p>
  </w:footnote>
  <w:footnote w:type="continuationSeparator" w:id="0">
    <w:p w14:paraId="2E8DEA8C" w14:textId="77777777" w:rsidR="006E7183" w:rsidRDefault="006E7183">
      <w:r>
        <w:continuationSeparator/>
      </w:r>
    </w:p>
  </w:footnote>
  <w:footnote w:id="1">
    <w:p w14:paraId="253EE740" w14:textId="7BD2F160" w:rsidR="0093407E" w:rsidRPr="00447D03" w:rsidRDefault="0093407E" w:rsidP="008F0A28">
      <w:pPr>
        <w:pStyle w:val="Notedebasdepage"/>
        <w:rPr>
          <w:lang w:val="en-CA"/>
        </w:rPr>
      </w:pPr>
      <w:r w:rsidRPr="00924CBD">
        <w:rPr>
          <w:rStyle w:val="Appelnotedebasdep"/>
          <w:rFonts w:ascii="Times New Roman" w:hAnsi="Times New Roman"/>
        </w:rPr>
        <w:footnoteRef/>
      </w:r>
      <w:r w:rsidRPr="00447D03">
        <w:rPr>
          <w:lang w:val="en-CA"/>
        </w:rPr>
        <w:t xml:space="preserve"> </w:t>
      </w:r>
      <w:proofErr w:type="spellStart"/>
      <w:r w:rsidRPr="00447D03">
        <w:rPr>
          <w:lang w:val="en-CA"/>
        </w:rPr>
        <w:t>Voir</w:t>
      </w:r>
      <w:proofErr w:type="spellEnd"/>
      <w:r w:rsidRPr="00447D03">
        <w:rPr>
          <w:lang w:val="en-CA"/>
        </w:rPr>
        <w:t xml:space="preserve"> par </w:t>
      </w:r>
      <w:r w:rsidRPr="008F0A28">
        <w:t>exemple</w:t>
      </w:r>
      <w:r w:rsidRPr="00447D03">
        <w:rPr>
          <w:lang w:val="en-CA"/>
        </w:rPr>
        <w:t xml:space="preserve"> Fournier, Patrick et al., </w:t>
      </w:r>
      <w:r w:rsidRPr="00447D03">
        <w:rPr>
          <w:i/>
          <w:lang w:val="en-CA"/>
        </w:rPr>
        <w:t>When Citizens Decide: Lessons from Citizen Assemblies on Electoral Reform</w:t>
      </w:r>
      <w:r w:rsidRPr="00447D03">
        <w:rPr>
          <w:lang w:val="en-CA"/>
        </w:rPr>
        <w:t xml:space="preserve">, </w:t>
      </w:r>
      <w:proofErr w:type="gramStart"/>
      <w:r w:rsidRPr="00447D03">
        <w:rPr>
          <w:lang w:val="en-CA"/>
        </w:rPr>
        <w:t>Oxford :</w:t>
      </w:r>
      <w:proofErr w:type="gramEnd"/>
      <w:r w:rsidRPr="00447D03">
        <w:rPr>
          <w:lang w:val="en-CA"/>
        </w:rPr>
        <w:t xml:space="preserve"> Oxford University Press, 2011. </w:t>
      </w:r>
    </w:p>
  </w:footnote>
  <w:footnote w:id="2">
    <w:p w14:paraId="793A44C8" w14:textId="5F3A474D" w:rsidR="0093407E" w:rsidRPr="004F32A1" w:rsidRDefault="0093407E" w:rsidP="008F0A28">
      <w:pPr>
        <w:pStyle w:val="Notedebasdepage"/>
        <w:rPr>
          <w:lang w:val="en-CA"/>
        </w:rPr>
      </w:pPr>
      <w:r w:rsidRPr="004F32A1">
        <w:rPr>
          <w:rStyle w:val="Appelnotedebasdep"/>
          <w:rFonts w:ascii="Times New Roman" w:hAnsi="Times New Roman"/>
        </w:rPr>
        <w:footnoteRef/>
      </w:r>
      <w:r w:rsidRPr="004F32A1">
        <w:rPr>
          <w:lang w:val="en-CA"/>
        </w:rPr>
        <w:t xml:space="preserve"> </w:t>
      </w:r>
      <w:proofErr w:type="spellStart"/>
      <w:r w:rsidRPr="004F32A1">
        <w:rPr>
          <w:lang w:val="en-CA"/>
        </w:rPr>
        <w:t>Voir</w:t>
      </w:r>
      <w:proofErr w:type="spellEnd"/>
      <w:r w:rsidRPr="004F32A1">
        <w:rPr>
          <w:lang w:val="en-CA"/>
        </w:rPr>
        <w:t xml:space="preserve"> Thaler, Richard &amp; Cass Sunstein, </w:t>
      </w:r>
      <w:r w:rsidRPr="004F32A1">
        <w:rPr>
          <w:i/>
          <w:lang w:val="en-CA"/>
        </w:rPr>
        <w:t>Nudge: improving decisions about health, wealth, and happiness</w:t>
      </w:r>
      <w:r w:rsidRPr="004F32A1">
        <w:rPr>
          <w:lang w:val="en-CA"/>
        </w:rPr>
        <w:t>, New Haven: Yale University Press,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1804" w14:textId="77777777" w:rsidR="007A1268" w:rsidRDefault="007A1268" w:rsidP="007A1268">
    <w:pPr>
      <w:pStyle w:val="En-tte"/>
      <w:jc w:val="both"/>
    </w:pPr>
    <w:r w:rsidRPr="007A1268">
      <w:rPr>
        <w:noProof/>
      </w:rPr>
      <w:drawing>
        <wp:inline distT="0" distB="0" distL="0" distR="0" wp14:anchorId="5BD76095" wp14:editId="70A11EF9">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0DF2"/>
    <w:rsid w:val="000B2407"/>
    <w:rsid w:val="000C3EA2"/>
    <w:rsid w:val="000E1207"/>
    <w:rsid w:val="00100FDE"/>
    <w:rsid w:val="001264AC"/>
    <w:rsid w:val="00167486"/>
    <w:rsid w:val="001A60CD"/>
    <w:rsid w:val="001B22FA"/>
    <w:rsid w:val="001C0661"/>
    <w:rsid w:val="001E233F"/>
    <w:rsid w:val="001E4C4E"/>
    <w:rsid w:val="001F2932"/>
    <w:rsid w:val="00235E33"/>
    <w:rsid w:val="0028766C"/>
    <w:rsid w:val="002F1A3D"/>
    <w:rsid w:val="003253C2"/>
    <w:rsid w:val="003616E4"/>
    <w:rsid w:val="00370594"/>
    <w:rsid w:val="003A3728"/>
    <w:rsid w:val="003B1DDC"/>
    <w:rsid w:val="003B3E7A"/>
    <w:rsid w:val="003C59A5"/>
    <w:rsid w:val="00411810"/>
    <w:rsid w:val="00424A7A"/>
    <w:rsid w:val="00427A80"/>
    <w:rsid w:val="00437286"/>
    <w:rsid w:val="00440B6F"/>
    <w:rsid w:val="00463500"/>
    <w:rsid w:val="00472187"/>
    <w:rsid w:val="00481151"/>
    <w:rsid w:val="00481F8F"/>
    <w:rsid w:val="004D6529"/>
    <w:rsid w:val="004F57E5"/>
    <w:rsid w:val="005069BE"/>
    <w:rsid w:val="005A77EA"/>
    <w:rsid w:val="005C5829"/>
    <w:rsid w:val="00604921"/>
    <w:rsid w:val="00617961"/>
    <w:rsid w:val="00632336"/>
    <w:rsid w:val="0063372A"/>
    <w:rsid w:val="0064092F"/>
    <w:rsid w:val="006432B1"/>
    <w:rsid w:val="00645703"/>
    <w:rsid w:val="00681218"/>
    <w:rsid w:val="00685886"/>
    <w:rsid w:val="006E7183"/>
    <w:rsid w:val="006E7A74"/>
    <w:rsid w:val="0071584B"/>
    <w:rsid w:val="0072515D"/>
    <w:rsid w:val="0073080B"/>
    <w:rsid w:val="00740D4F"/>
    <w:rsid w:val="007701E0"/>
    <w:rsid w:val="00775163"/>
    <w:rsid w:val="007922AF"/>
    <w:rsid w:val="00792FBC"/>
    <w:rsid w:val="007A1268"/>
    <w:rsid w:val="007B5D97"/>
    <w:rsid w:val="007E729E"/>
    <w:rsid w:val="00834305"/>
    <w:rsid w:val="00865FAE"/>
    <w:rsid w:val="008B1967"/>
    <w:rsid w:val="008C7D8A"/>
    <w:rsid w:val="008D3DF4"/>
    <w:rsid w:val="008D57AB"/>
    <w:rsid w:val="008E46DD"/>
    <w:rsid w:val="008E5CFF"/>
    <w:rsid w:val="008F0A28"/>
    <w:rsid w:val="009135D2"/>
    <w:rsid w:val="009243CE"/>
    <w:rsid w:val="0093407E"/>
    <w:rsid w:val="009403BD"/>
    <w:rsid w:val="0094645F"/>
    <w:rsid w:val="00953330"/>
    <w:rsid w:val="00961394"/>
    <w:rsid w:val="0098253B"/>
    <w:rsid w:val="009C266B"/>
    <w:rsid w:val="009F57ED"/>
    <w:rsid w:val="00A55C33"/>
    <w:rsid w:val="00A8559A"/>
    <w:rsid w:val="00AD258A"/>
    <w:rsid w:val="00AE4248"/>
    <w:rsid w:val="00AF63A5"/>
    <w:rsid w:val="00B05675"/>
    <w:rsid w:val="00B24251"/>
    <w:rsid w:val="00B83048"/>
    <w:rsid w:val="00B90D39"/>
    <w:rsid w:val="00BB0030"/>
    <w:rsid w:val="00BB1A65"/>
    <w:rsid w:val="00BC76CE"/>
    <w:rsid w:val="00BD4F4E"/>
    <w:rsid w:val="00BF0C14"/>
    <w:rsid w:val="00C35861"/>
    <w:rsid w:val="00C70344"/>
    <w:rsid w:val="00C71D32"/>
    <w:rsid w:val="00C92AF8"/>
    <w:rsid w:val="00CA54CB"/>
    <w:rsid w:val="00CA6A71"/>
    <w:rsid w:val="00CD03D0"/>
    <w:rsid w:val="00CD2835"/>
    <w:rsid w:val="00CE3519"/>
    <w:rsid w:val="00CE415E"/>
    <w:rsid w:val="00D06258"/>
    <w:rsid w:val="00D128B5"/>
    <w:rsid w:val="00D56B3F"/>
    <w:rsid w:val="00D81B12"/>
    <w:rsid w:val="00D85E7E"/>
    <w:rsid w:val="00D85FB6"/>
    <w:rsid w:val="00D9144D"/>
    <w:rsid w:val="00D960E5"/>
    <w:rsid w:val="00DA1B1B"/>
    <w:rsid w:val="00DA63DC"/>
    <w:rsid w:val="00DD1322"/>
    <w:rsid w:val="00DF040B"/>
    <w:rsid w:val="00DF1D51"/>
    <w:rsid w:val="00DF54FA"/>
    <w:rsid w:val="00E213B0"/>
    <w:rsid w:val="00E23705"/>
    <w:rsid w:val="00E248D4"/>
    <w:rsid w:val="00E623AC"/>
    <w:rsid w:val="00E64949"/>
    <w:rsid w:val="00E749EA"/>
    <w:rsid w:val="00E75C6B"/>
    <w:rsid w:val="00E82115"/>
    <w:rsid w:val="00E957F2"/>
    <w:rsid w:val="00ED5C35"/>
    <w:rsid w:val="00EE1383"/>
    <w:rsid w:val="00EF0B09"/>
    <w:rsid w:val="00F0353B"/>
    <w:rsid w:val="00F049B7"/>
    <w:rsid w:val="00F43C5F"/>
    <w:rsid w:val="00F607AA"/>
    <w:rsid w:val="00F70913"/>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1D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4">
    <w:name w:val="heading 4"/>
    <w:basedOn w:val="Normal"/>
    <w:link w:val="Titre4Car"/>
    <w:uiPriority w:val="9"/>
    <w:qFormat/>
    <w:rsid w:val="008D3DF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 w:type="paragraph" w:styleId="Sansinterligne">
    <w:name w:val="No Spacing"/>
    <w:uiPriority w:val="1"/>
    <w:qFormat/>
    <w:rsid w:val="008D3D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4Car">
    <w:name w:val="Titre 4 Car"/>
    <w:basedOn w:val="Policepardfaut"/>
    <w:link w:val="Titre4"/>
    <w:uiPriority w:val="9"/>
    <w:rsid w:val="008D3DF4"/>
    <w:rPr>
      <w:rFonts w:eastAsia="Times New Roman"/>
      <w:b/>
      <w:bCs/>
      <w:sz w:val="24"/>
      <w:szCs w:val="24"/>
      <w:bdr w:val="none" w:sz="0" w:space="0" w:color="auto"/>
    </w:rPr>
  </w:style>
  <w:style w:type="paragraph" w:customStyle="1" w:styleId="Bibliographie1">
    <w:name w:val="Bibliographie1"/>
    <w:basedOn w:val="Normal"/>
    <w:rsid w:val="000B0DF2"/>
    <w:pPr>
      <w:spacing w:after="240"/>
      <w:jc w:val="both"/>
    </w:pPr>
    <w:rPr>
      <w:rFonts w:ascii="Times New Roman" w:eastAsia="MS Mincho" w:hAnsi="Times New Roman" w:cs="Times New Roman"/>
      <w:lang w:eastAsia="fr-FR"/>
    </w:rPr>
  </w:style>
  <w:style w:type="paragraph" w:styleId="Commentaire">
    <w:name w:val="annotation text"/>
    <w:basedOn w:val="Normal"/>
    <w:link w:val="CommentaireCar"/>
    <w:uiPriority w:val="99"/>
    <w:semiHidden/>
    <w:unhideWhenUsed/>
    <w:rsid w:val="000B0DF2"/>
    <w:pPr>
      <w:jc w:val="both"/>
    </w:pPr>
    <w:rPr>
      <w:rFonts w:ascii="Times New Roman" w:eastAsia="MS Mincho" w:hAnsi="Times New Roman" w:cs="Times New Roman"/>
      <w:sz w:val="20"/>
      <w:szCs w:val="20"/>
      <w:lang w:eastAsia="fr-FR"/>
    </w:rPr>
  </w:style>
  <w:style w:type="character" w:customStyle="1" w:styleId="CommentaireCar">
    <w:name w:val="Commentaire Car"/>
    <w:basedOn w:val="Policepardfaut"/>
    <w:link w:val="Commentaire"/>
    <w:uiPriority w:val="99"/>
    <w:semiHidden/>
    <w:rsid w:val="000B0DF2"/>
    <w:rPr>
      <w:rFonts w:eastAsia="MS Mincho"/>
      <w:bdr w:val="none" w:sz="0" w:space="0" w:color="auto"/>
    </w:rPr>
  </w:style>
  <w:style w:type="paragraph" w:styleId="Textedebulles">
    <w:name w:val="Balloon Text"/>
    <w:basedOn w:val="Normal"/>
    <w:link w:val="TextedebullesCar"/>
    <w:uiPriority w:val="99"/>
    <w:semiHidden/>
    <w:unhideWhenUsed/>
    <w:rsid w:val="000B0DF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0DF2"/>
    <w:rPr>
      <w:rFonts w:eastAsiaTheme="minorHAnsi"/>
      <w:sz w:val="18"/>
      <w:szCs w:val="1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7548778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5861712">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AAB8A7-A938-054A-9CAB-19EEFF73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7</Pages>
  <Words>2285</Words>
  <Characters>12572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3</cp:revision>
  <dcterms:created xsi:type="dcterms:W3CDTF">2021-05-10T08:14:00Z</dcterms:created>
  <dcterms:modified xsi:type="dcterms:W3CDTF">2021-05-10T08:26:00Z</dcterms:modified>
</cp:coreProperties>
</file>