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D3BAE" w14:textId="77777777" w:rsidR="0063372A" w:rsidRDefault="0063372A" w:rsidP="0063372A">
      <w:pPr>
        <w:outlineLvl w:val="0"/>
        <w:rPr>
          <w:rFonts w:ascii="Times" w:hAnsi="Times"/>
        </w:rPr>
      </w:pPr>
    </w:p>
    <w:p w14:paraId="4E7D4F66" w14:textId="77777777" w:rsidR="00377870" w:rsidRDefault="00377870" w:rsidP="00377870">
      <w:pPr>
        <w:pStyle w:val="VDITitre"/>
        <w:rPr>
          <w:sz w:val="22"/>
          <w:szCs w:val="22"/>
        </w:rPr>
      </w:pPr>
      <w:r w:rsidRPr="00B53EB5">
        <w:t>L’hésitation vaccinale, ou les impatiences de la santé mondiale</w:t>
      </w:r>
    </w:p>
    <w:p w14:paraId="587F2F1B" w14:textId="01AC92F7" w:rsidR="002D477E" w:rsidRPr="00E23705" w:rsidRDefault="008B1967" w:rsidP="002D477E">
      <w:pPr>
        <w:pStyle w:val="VDIAuteur"/>
      </w:pPr>
      <w:proofErr w:type="gramStart"/>
      <w:r w:rsidRPr="002D477E">
        <w:t>p</w:t>
      </w:r>
      <w:r w:rsidR="00E75C6B" w:rsidRPr="002D477E">
        <w:t>ar</w:t>
      </w:r>
      <w:proofErr w:type="gramEnd"/>
      <w:r w:rsidR="00E75C6B" w:rsidRPr="002D477E">
        <w:t xml:space="preserve"> </w:t>
      </w:r>
      <w:r w:rsidR="002D477E" w:rsidRPr="002D477E">
        <w:t xml:space="preserve">Gaëtan Thomas </w:t>
      </w:r>
      <w:r w:rsidR="003E4A0E">
        <w:t>&amp;</w:t>
      </w:r>
      <w:r w:rsidR="002D477E" w:rsidRPr="002D477E">
        <w:t xml:space="preserve"> Anne-Marie Moulin</w:t>
      </w:r>
    </w:p>
    <w:p w14:paraId="2CFD8C05" w14:textId="0D80E4B6" w:rsidR="00D15D90" w:rsidRPr="00377870" w:rsidRDefault="005E4983" w:rsidP="00377870">
      <w:pPr>
        <w:pStyle w:val="VDIChapo"/>
      </w:pPr>
      <w:r>
        <w:t xml:space="preserve">À lire </w:t>
      </w:r>
      <w:r w:rsidR="00DD6D90">
        <w:t xml:space="preserve">les </w:t>
      </w:r>
      <w:proofErr w:type="spellStart"/>
      <w:r w:rsidR="00DD6D90">
        <w:t>sondages</w:t>
      </w:r>
      <w:proofErr w:type="spellEnd"/>
      <w:r w:rsidR="00DD6D90">
        <w:t xml:space="preserve">, la France se </w:t>
      </w:r>
      <w:proofErr w:type="spellStart"/>
      <w:r w:rsidR="00DD6D90">
        <w:t>distingue</w:t>
      </w:r>
      <w:proofErr w:type="spellEnd"/>
      <w:r w:rsidR="00DD6D90">
        <w:t xml:space="preserve"> par </w:t>
      </w:r>
      <w:proofErr w:type="spellStart"/>
      <w:r w:rsidR="00DD6D90">
        <w:t>un</w:t>
      </w:r>
      <w:proofErr w:type="spellEnd"/>
      <w:r w:rsidR="00DD6D90">
        <w:t xml:space="preserve"> </w:t>
      </w:r>
      <w:proofErr w:type="spellStart"/>
      <w:r w:rsidR="00E42C1C">
        <w:t>ha</w:t>
      </w:r>
      <w:r w:rsidR="00DD6D90">
        <w:t>ut</w:t>
      </w:r>
      <w:proofErr w:type="spellEnd"/>
      <w:r w:rsidR="00DD6D90">
        <w:t xml:space="preserve"> niveau de </w:t>
      </w:r>
      <w:proofErr w:type="spellStart"/>
      <w:r w:rsidR="00DD6D90">
        <w:t>défiance</w:t>
      </w:r>
      <w:proofErr w:type="spellEnd"/>
      <w:r w:rsidR="00DD6D90">
        <w:t xml:space="preserve"> vaccinale</w:t>
      </w:r>
      <w:r w:rsidR="00E42C1C">
        <w:t xml:space="preserve">. Mais, dans la </w:t>
      </w:r>
      <w:proofErr w:type="spellStart"/>
      <w:r w:rsidR="00E42C1C">
        <w:t>pratique</w:t>
      </w:r>
      <w:proofErr w:type="spellEnd"/>
      <w:r w:rsidR="00E42C1C">
        <w:t xml:space="preserve">, les </w:t>
      </w:r>
      <w:proofErr w:type="spellStart"/>
      <w:r w:rsidR="00E42C1C">
        <w:t>taux</w:t>
      </w:r>
      <w:proofErr w:type="spellEnd"/>
      <w:r w:rsidR="00E42C1C">
        <w:t xml:space="preserve"> de couverture </w:t>
      </w:r>
      <w:proofErr w:type="spellStart"/>
      <w:r w:rsidR="00E42C1C">
        <w:t>restent</w:t>
      </w:r>
      <w:proofErr w:type="spellEnd"/>
      <w:r w:rsidR="00E42C1C">
        <w:t xml:space="preserve"> </w:t>
      </w:r>
      <w:proofErr w:type="spellStart"/>
      <w:r w:rsidR="00E42C1C">
        <w:t>élevés</w:t>
      </w:r>
      <w:proofErr w:type="spellEnd"/>
      <w:r w:rsidR="00DD6D90">
        <w:t>,</w:t>
      </w:r>
      <w:r w:rsidR="00E42C1C">
        <w:t xml:space="preserve"> et la campagne de </w:t>
      </w:r>
      <w:proofErr w:type="spellStart"/>
      <w:r w:rsidR="00E42C1C">
        <w:t>vaccination</w:t>
      </w:r>
      <w:proofErr w:type="spellEnd"/>
      <w:r w:rsidR="00E42C1C">
        <w:t xml:space="preserve"> </w:t>
      </w:r>
      <w:proofErr w:type="spellStart"/>
      <w:r w:rsidR="00E42C1C">
        <w:t>contre</w:t>
      </w:r>
      <w:proofErr w:type="spellEnd"/>
      <w:r w:rsidR="00E42C1C">
        <w:t xml:space="preserve"> </w:t>
      </w:r>
      <w:proofErr w:type="spellStart"/>
      <w:r w:rsidR="00E42C1C">
        <w:t>le</w:t>
      </w:r>
      <w:proofErr w:type="spellEnd"/>
      <w:r w:rsidR="00E42C1C">
        <w:t xml:space="preserve"> </w:t>
      </w:r>
      <w:proofErr w:type="spellStart"/>
      <w:r w:rsidR="00E42C1C">
        <w:t>Covid</w:t>
      </w:r>
      <w:proofErr w:type="spellEnd"/>
      <w:r w:rsidR="00AC217A">
        <w:t xml:space="preserve"> </w:t>
      </w:r>
      <w:proofErr w:type="spellStart"/>
      <w:r w:rsidR="00AC217A">
        <w:t>s'accélère</w:t>
      </w:r>
      <w:proofErr w:type="spellEnd"/>
      <w:r w:rsidR="00E42C1C">
        <w:t xml:space="preserve">. </w:t>
      </w:r>
      <w:proofErr w:type="spellStart"/>
      <w:r w:rsidR="00DD6D90">
        <w:t>L'hésitation</w:t>
      </w:r>
      <w:proofErr w:type="spellEnd"/>
      <w:r w:rsidR="00DD6D90">
        <w:t xml:space="preserve"> </w:t>
      </w:r>
      <w:proofErr w:type="spellStart"/>
      <w:r w:rsidR="00DD6D90">
        <w:t>n'est</w:t>
      </w:r>
      <w:proofErr w:type="spellEnd"/>
      <w:r w:rsidR="00DD6D90">
        <w:t xml:space="preserve"> pas </w:t>
      </w:r>
      <w:proofErr w:type="spellStart"/>
      <w:r w:rsidR="00DD6D90">
        <w:t>toujours</w:t>
      </w:r>
      <w:proofErr w:type="spellEnd"/>
      <w:r w:rsidR="00DD6D90">
        <w:t xml:space="preserve"> </w:t>
      </w:r>
      <w:proofErr w:type="spellStart"/>
      <w:r w:rsidR="00DD6D90">
        <w:t>synonyme</w:t>
      </w:r>
      <w:proofErr w:type="spellEnd"/>
      <w:r w:rsidR="00DD6D90">
        <w:t xml:space="preserve"> de </w:t>
      </w:r>
      <w:proofErr w:type="spellStart"/>
      <w:r w:rsidR="00DD6D90">
        <w:t>refus</w:t>
      </w:r>
      <w:proofErr w:type="spellEnd"/>
      <w:r w:rsidR="00DD6D90">
        <w:t xml:space="preserve"> </w:t>
      </w:r>
      <w:proofErr w:type="spellStart"/>
      <w:r w:rsidR="00DD6D90">
        <w:t>ou</w:t>
      </w:r>
      <w:proofErr w:type="spellEnd"/>
      <w:r w:rsidR="00DD6D90">
        <w:t xml:space="preserve"> de </w:t>
      </w:r>
      <w:proofErr w:type="spellStart"/>
      <w:r w:rsidR="00DD6D90">
        <w:t>résistance</w:t>
      </w:r>
      <w:proofErr w:type="spellEnd"/>
      <w:r w:rsidR="00DD6D90">
        <w:t xml:space="preserve">. </w:t>
      </w:r>
    </w:p>
    <w:p w14:paraId="15F16B8B" w14:textId="5C7A488A" w:rsidR="00D15D90" w:rsidRDefault="00D15D90" w:rsidP="00377870">
      <w:pPr>
        <w:pStyle w:val="Corps"/>
      </w:pPr>
      <w:r w:rsidRPr="00AE3302">
        <w:t xml:space="preserve">2016. La France championne de la défiance vaccinale. Sur une carte du monde en dégradés de rouge, le petit hexagone au centre est peint en bordeaux : </w:t>
      </w:r>
      <w:r w:rsidRPr="007162C2">
        <w:t>il</w:t>
      </w:r>
      <w:r w:rsidRPr="00AE3302">
        <w:t xml:space="preserve"> est devenu le mouton noir de la vaccination, c’est du moins ce que présente l’anthropologue Heidi </w:t>
      </w:r>
      <w:proofErr w:type="spellStart"/>
      <w:r w:rsidRPr="00AE3302">
        <w:t>Larson</w:t>
      </w:r>
      <w:proofErr w:type="spellEnd"/>
      <w:r w:rsidRPr="00AE3302">
        <w:t xml:space="preserve"> depuis la London </w:t>
      </w:r>
      <w:proofErr w:type="spellStart"/>
      <w:r w:rsidRPr="00AE3302">
        <w:t>School</w:t>
      </w:r>
      <w:proofErr w:type="spellEnd"/>
      <w:r w:rsidRPr="00AE3302">
        <w:t xml:space="preserve"> of </w:t>
      </w:r>
      <w:proofErr w:type="spellStart"/>
      <w:r w:rsidRPr="00AE3302">
        <w:t>Hygiene</w:t>
      </w:r>
      <w:proofErr w:type="spellEnd"/>
      <w:r w:rsidRPr="00AE3302">
        <w:t xml:space="preserve"> and Tropical </w:t>
      </w:r>
      <w:proofErr w:type="spellStart"/>
      <w:r w:rsidRPr="00AE3302">
        <w:t>Medicine</w:t>
      </w:r>
      <w:proofErr w:type="spellEnd"/>
      <w:r w:rsidRPr="00AE3302">
        <w:t>, au terme d’une enquête menée dans soixante-sept pays</w:t>
      </w:r>
      <w:r>
        <w:t>,</w:t>
      </w:r>
      <w:r w:rsidRPr="00AE3302">
        <w:t xml:space="preserve"> qui fait caracoler </w:t>
      </w:r>
      <w:r w:rsidRPr="007162C2">
        <w:t>la France</w:t>
      </w:r>
      <w:r w:rsidRPr="00AE3302">
        <w:t xml:space="preserve"> en tête du palmarès. </w:t>
      </w:r>
      <w:r w:rsidRPr="00E71677">
        <w:t>Chaque personne interrogée</w:t>
      </w:r>
      <w:r>
        <w:t xml:space="preserve"> dans le cadre de l’enquête</w:t>
      </w:r>
      <w:r w:rsidRPr="00E71677">
        <w:t xml:space="preserve"> </w:t>
      </w:r>
      <w:r>
        <w:t>avait dû</w:t>
      </w:r>
      <w:r w:rsidRPr="00E71677">
        <w:t xml:space="preserve"> </w:t>
      </w:r>
      <w:r>
        <w:t>se prononcer sur</w:t>
      </w:r>
      <w:r w:rsidRPr="00E71677">
        <w:t xml:space="preserve"> quatre affirmations relatives à l’importance des vaccinations de l’enfan</w:t>
      </w:r>
      <w:r>
        <w:t>ce</w:t>
      </w:r>
      <w:r w:rsidRPr="00E71677">
        <w:t>, à l’efficacité des vaccins, à leur compatibilité avec des croyances religieuses et</w:t>
      </w:r>
      <w:r>
        <w:t xml:space="preserve"> à</w:t>
      </w:r>
      <w:r w:rsidRPr="00E71677">
        <w:t xml:space="preserve"> </w:t>
      </w:r>
      <w:r>
        <w:t xml:space="preserve">leur </w:t>
      </w:r>
      <w:r w:rsidRPr="00E71677">
        <w:t>innocuité</w:t>
      </w:r>
      <w:r>
        <w:t>.</w:t>
      </w:r>
      <w:r w:rsidRPr="00E71677">
        <w:t xml:space="preserve"> </w:t>
      </w:r>
      <w:r>
        <w:t xml:space="preserve">C’est sur ce dernier </w:t>
      </w:r>
      <w:r w:rsidRPr="00E71677">
        <w:t xml:space="preserve">item </w:t>
      </w:r>
      <w:r>
        <w:t>que</w:t>
      </w:r>
      <w:r w:rsidRPr="00E71677">
        <w:t xml:space="preserve"> les Français s’illustr</w:t>
      </w:r>
      <w:r>
        <w:t>aie</w:t>
      </w:r>
      <w:r w:rsidRPr="00E71677">
        <w:t xml:space="preserve">nt par un </w:t>
      </w:r>
      <w:r>
        <w:t xml:space="preserve">très </w:t>
      </w:r>
      <w:r w:rsidRPr="00E71677">
        <w:t>haut niveau de défiance</w:t>
      </w:r>
      <w:r>
        <w:t xml:space="preserve">. </w:t>
      </w:r>
      <w:r w:rsidRPr="00AE3302">
        <w:t xml:space="preserve">Si le cas </w:t>
      </w:r>
      <w:r>
        <w:t xml:space="preserve">des Français </w:t>
      </w:r>
      <w:r w:rsidRPr="00AE3302">
        <w:t>est grave, le problème n’en est pas moins mondial</w:t>
      </w:r>
      <w:r w:rsidR="00377870">
        <w:t> </w:t>
      </w:r>
      <w:r w:rsidRPr="00AE3302">
        <w:t>: l’Organisation mondiale de la santé</w:t>
      </w:r>
      <w:r>
        <w:t xml:space="preserve"> (OMS)</w:t>
      </w:r>
      <w:r w:rsidRPr="00AE3302">
        <w:t xml:space="preserve"> a déclaré l’hésitation vaccinale « ennemie de l’année » en 2019.</w:t>
      </w:r>
    </w:p>
    <w:p w14:paraId="69B77129" w14:textId="77777777" w:rsidR="00D15D90" w:rsidRDefault="00D15D90" w:rsidP="00D15D90">
      <w:pPr>
        <w:shd w:val="clear" w:color="auto" w:fill="FFFFFF"/>
        <w:spacing w:before="100" w:beforeAutospacing="1" w:after="100" w:afterAutospacing="1"/>
        <w:ind w:firstLine="709"/>
        <w:jc w:val="both"/>
        <w:rPr>
          <w:rFonts w:ascii="Times New Roman" w:eastAsia="MS Mincho" w:hAnsi="Times New Roman" w:cs="Times New Roman"/>
          <w:bCs/>
          <w:sz w:val="22"/>
          <w:szCs w:val="22"/>
          <w:lang w:eastAsia="fr-FR"/>
        </w:rPr>
      </w:pPr>
      <w:r w:rsidRPr="00B05B65">
        <w:rPr>
          <w:rFonts w:ascii="Times New Roman" w:eastAsia="MS Mincho" w:hAnsi="Times New Roman" w:cs="Times New Roman"/>
          <w:bCs/>
          <w:noProof/>
          <w:sz w:val="22"/>
          <w:szCs w:val="22"/>
          <w:lang w:eastAsia="fr-FR"/>
        </w:rPr>
        <w:lastRenderedPageBreak/>
        <w:drawing>
          <wp:inline distT="0" distB="0" distL="0" distR="0" wp14:anchorId="2E43977E" wp14:editId="72177C76">
            <wp:extent cx="5160818" cy="338803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73" t="29147" r="30268" b="11873"/>
                    <a:stretch/>
                  </pic:blipFill>
                  <pic:spPr bwMode="auto">
                    <a:xfrm>
                      <a:off x="0" y="0"/>
                      <a:ext cx="5178235" cy="33994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097C83" w14:textId="6F1D293A" w:rsidR="00D15D90" w:rsidRPr="002D477E" w:rsidRDefault="00D15D90" w:rsidP="002D477E">
      <w:pPr>
        <w:pStyle w:val="VDILgende"/>
        <w:rPr>
          <w:rFonts w:eastAsia="MS Mincho"/>
          <w:lang w:val="en-US"/>
        </w:rPr>
      </w:pPr>
      <w:r w:rsidRPr="00B05B65">
        <w:rPr>
          <w:rFonts w:eastAsia="MS Mincho"/>
          <w:lang w:val="en-US"/>
        </w:rPr>
        <w:t xml:space="preserve">Heidi Larson et al., « The State of Vaccine Confidence 2016: Global Insights Through a 67-Country Survey », </w:t>
      </w:r>
      <w:proofErr w:type="spellStart"/>
      <w:r w:rsidRPr="00B05B65">
        <w:rPr>
          <w:rFonts w:eastAsia="MS Mincho"/>
          <w:lang w:val="en-US"/>
        </w:rPr>
        <w:t>EBioMedicine</w:t>
      </w:r>
      <w:proofErr w:type="spellEnd"/>
      <w:r w:rsidRPr="00B05B65">
        <w:rPr>
          <w:rFonts w:eastAsia="MS Mincho"/>
          <w:lang w:val="en-US"/>
        </w:rPr>
        <w:t xml:space="preserve">, n°12, 2016, p. 295-301, carte p. 298. </w:t>
      </w:r>
    </w:p>
    <w:p w14:paraId="7AFA6209" w14:textId="0831E063" w:rsidR="00D15D90" w:rsidRDefault="00D15D90" w:rsidP="00377870">
      <w:pPr>
        <w:pStyle w:val="Corps"/>
      </w:pPr>
      <w:r w:rsidRPr="00AE3302">
        <w:t xml:space="preserve">Les </w:t>
      </w:r>
      <w:r>
        <w:t>sondages </w:t>
      </w:r>
      <w:r w:rsidRPr="00AE3302">
        <w:t xml:space="preserve">du Vaccine Confidence Project, le groupe de recherche d’Heidi </w:t>
      </w:r>
      <w:proofErr w:type="spellStart"/>
      <w:r w:rsidRPr="00AE3302">
        <w:t>Larson</w:t>
      </w:r>
      <w:proofErr w:type="spellEnd"/>
      <w:r w:rsidRPr="007162C2">
        <w:t>,</w:t>
      </w:r>
      <w:r w:rsidRPr="00AE3302">
        <w:t xml:space="preserve"> sont devenus un point de départ </w:t>
      </w:r>
      <w:r>
        <w:t>obligé</w:t>
      </w:r>
      <w:r w:rsidRPr="00AE3302">
        <w:t xml:space="preserve"> des discours sur la vaccination en France. </w:t>
      </w:r>
      <w:r>
        <w:t>Ils</w:t>
      </w:r>
      <w:r w:rsidRPr="00AE3302">
        <w:t xml:space="preserve"> symbolisent une nouvelle ère dans l’histoire de la santé publique, où la France, « pays de Pasteur », </w:t>
      </w:r>
      <w:r>
        <w:t>surprend et inquiète d’autant plus</w:t>
      </w:r>
      <w:r w:rsidRPr="00AE3302">
        <w:t>. Le</w:t>
      </w:r>
      <w:r w:rsidRPr="007162C2">
        <w:t>urs</w:t>
      </w:r>
      <w:r w:rsidRPr="00AE3302">
        <w:t xml:space="preserve"> résultats sont </w:t>
      </w:r>
      <w:r w:rsidRPr="007162C2">
        <w:t>confortés</w:t>
      </w:r>
      <w:r w:rsidRPr="00AE3302">
        <w:t xml:space="preserve"> par des enquêtes nationales</w:t>
      </w:r>
      <w:r>
        <w:t>, aux conclusions toutefois plus nuancées</w:t>
      </w:r>
      <w:r w:rsidRPr="00AE3302">
        <w:t xml:space="preserve">. </w:t>
      </w:r>
      <w:r>
        <w:t>Par exemple, l</w:t>
      </w:r>
      <w:r w:rsidRPr="00AE3302">
        <w:t>e « Baromètre santé »</w:t>
      </w:r>
      <w:r>
        <w:t>,</w:t>
      </w:r>
      <w:r w:rsidRPr="00AE3302">
        <w:t xml:space="preserve"> </w:t>
      </w:r>
      <w:r>
        <w:t>créé</w:t>
      </w:r>
      <w:r w:rsidRPr="00AE3302">
        <w:t xml:space="preserve"> </w:t>
      </w:r>
      <w:r>
        <w:t xml:space="preserve">en France </w:t>
      </w:r>
      <w:r w:rsidRPr="00AE3302">
        <w:t>au début des années 1990</w:t>
      </w:r>
      <w:r>
        <w:t>,</w:t>
      </w:r>
      <w:r w:rsidRPr="00AE3302">
        <w:t xml:space="preserve"> enregistre </w:t>
      </w:r>
      <w:r>
        <w:t xml:space="preserve">la croissance </w:t>
      </w:r>
      <w:r w:rsidRPr="00AE3302">
        <w:t xml:space="preserve">d’un courant réfractaire à partir de </w:t>
      </w:r>
      <w:r>
        <w:t>l’épisode</w:t>
      </w:r>
      <w:r w:rsidRPr="00AE3302">
        <w:t xml:space="preserve"> de </w:t>
      </w:r>
      <w:r>
        <w:t xml:space="preserve">la </w:t>
      </w:r>
      <w:r w:rsidRPr="00AE3302">
        <w:t>vaccination contre le H1N1</w:t>
      </w:r>
      <w:r>
        <w:t xml:space="preserve"> en 2009. L’échec mondial de la campagne cette année-là a beaucoup alarmé les responsables sanitaires</w:t>
      </w:r>
      <w:r w:rsidRPr="00AE3302">
        <w:t xml:space="preserve">. Des chercheurs déposent des projets pour préciser </w:t>
      </w:r>
      <w:r>
        <w:t>la</w:t>
      </w:r>
      <w:r w:rsidRPr="00AE3302">
        <w:t xml:space="preserve"> problématique et lui donn</w:t>
      </w:r>
      <w:r>
        <w:t>en</w:t>
      </w:r>
      <w:r w:rsidRPr="00AE3302">
        <w:t>t un</w:t>
      </w:r>
      <w:r>
        <w:t xml:space="preserve"> relief</w:t>
      </w:r>
      <w:r w:rsidRPr="00AE3302">
        <w:t xml:space="preserve"> </w:t>
      </w:r>
      <w:r>
        <w:t>accru</w:t>
      </w:r>
      <w:r w:rsidRPr="00AE3302">
        <w:t xml:space="preserve">. Ils rencontrent l’oreille attentive des </w:t>
      </w:r>
      <w:r>
        <w:t>autorités</w:t>
      </w:r>
      <w:r w:rsidRPr="00AE3302">
        <w:t xml:space="preserve">. </w:t>
      </w:r>
      <w:r>
        <w:t>Ce n’est donc pas une surprise si, a</w:t>
      </w:r>
      <w:r w:rsidRPr="00AE3302">
        <w:t>u printemps dernier, dans l’effervescence des premiers mois de l’épidémie de</w:t>
      </w:r>
      <w:r>
        <w:t xml:space="preserve"> C</w:t>
      </w:r>
      <w:r w:rsidRPr="00AE3302">
        <w:t xml:space="preserve">ovid-19, </w:t>
      </w:r>
      <w:r>
        <w:t>paraissent</w:t>
      </w:r>
      <w:r w:rsidRPr="00AE3302">
        <w:t xml:space="preserve"> </w:t>
      </w:r>
      <w:r>
        <w:t>l</w:t>
      </w:r>
      <w:r w:rsidRPr="007162C2">
        <w:t>es</w:t>
      </w:r>
      <w:r w:rsidRPr="00AE3302">
        <w:t xml:space="preserve"> </w:t>
      </w:r>
      <w:r>
        <w:t>premiers chiffres</w:t>
      </w:r>
      <w:r w:rsidRPr="00AE3302">
        <w:t xml:space="preserve"> sur </w:t>
      </w:r>
      <w:r>
        <w:t>le</w:t>
      </w:r>
      <w:r w:rsidRPr="00AE3302">
        <w:t xml:space="preserve"> futur vaccin </w:t>
      </w:r>
      <w:r>
        <w:t xml:space="preserve">tant attendu </w:t>
      </w:r>
      <w:r w:rsidRPr="00AE3302">
        <w:t xml:space="preserve">: </w:t>
      </w:r>
      <w:r>
        <w:t>environ un quart</w:t>
      </w:r>
      <w:r w:rsidRPr="00AE3302">
        <w:t xml:space="preserve"> des Français n’y auraient pas recours</w:t>
      </w:r>
      <w:r w:rsidRPr="007162C2">
        <w:rPr>
          <w:vertAlign w:val="superscript"/>
        </w:rPr>
        <w:footnoteReference w:id="1"/>
      </w:r>
      <w:r w:rsidRPr="00AE3302">
        <w:t>. Un</w:t>
      </w:r>
      <w:r>
        <w:t xml:space="preserve"> sondage </w:t>
      </w:r>
      <w:r w:rsidRPr="00AE3302">
        <w:t>du Vaccine Confidence Project</w:t>
      </w:r>
      <w:r>
        <w:t>,</w:t>
      </w:r>
      <w:r w:rsidRPr="00AE3302">
        <w:t xml:space="preserve"> réalisé entre octobre et décembre 2020, à un moment où les vaccins ne sont toujours pas disponibles en dehors d’une poignée de pays, dresse un tableau </w:t>
      </w:r>
      <w:r>
        <w:t xml:space="preserve">encore </w:t>
      </w:r>
      <w:r w:rsidRPr="00AE3302">
        <w:t>plus sombre</w:t>
      </w:r>
      <w:r>
        <w:t>. A</w:t>
      </w:r>
      <w:r w:rsidRPr="00AE3302">
        <w:t>vec seulement 44</w:t>
      </w:r>
      <w:r w:rsidR="00377870">
        <w:t> </w:t>
      </w:r>
      <w:r w:rsidRPr="00AE3302">
        <w:t>% d’enquêtés déclarant vouloir se faire vacciner, la France se retrouve, encore une fois</w:t>
      </w:r>
      <w:r>
        <w:t>, dans la ligne de mire</w:t>
      </w:r>
      <w:r>
        <w:rPr>
          <w:rStyle w:val="Appelnotedebasdep"/>
          <w:rFonts w:ascii="Times New Roman" w:eastAsia="MS Mincho" w:hAnsi="Times New Roman" w:cs="Times New Roman"/>
          <w:bCs/>
          <w:sz w:val="22"/>
          <w:szCs w:val="22"/>
        </w:rPr>
        <w:footnoteReference w:id="2"/>
      </w:r>
      <w:r w:rsidRPr="00AE3302">
        <w:t xml:space="preserve">. </w:t>
      </w:r>
    </w:p>
    <w:p w14:paraId="728FF92A" w14:textId="17382DCC" w:rsidR="00D15D90" w:rsidRPr="00B53EB5" w:rsidRDefault="00D15D90" w:rsidP="00377870">
      <w:pPr>
        <w:pStyle w:val="VDIIntertitre"/>
        <w:rPr>
          <w:sz w:val="22"/>
          <w:szCs w:val="22"/>
        </w:rPr>
      </w:pPr>
      <w:r w:rsidRPr="00B53EB5">
        <w:lastRenderedPageBreak/>
        <w:t>De la résistance à l</w:t>
      </w:r>
      <w:r w:rsidR="00377870">
        <w:t>’</w:t>
      </w:r>
      <w:r w:rsidRPr="00B53EB5">
        <w:t>hésitatio</w:t>
      </w:r>
      <w:r>
        <w:t>n vaccinale</w:t>
      </w:r>
    </w:p>
    <w:p w14:paraId="1856B0E1" w14:textId="61419691" w:rsidR="00D15D90" w:rsidRPr="00AE3302" w:rsidRDefault="00D15D90" w:rsidP="00377870">
      <w:pPr>
        <w:pStyle w:val="Corps"/>
      </w:pPr>
      <w:r w:rsidRPr="00AE3302">
        <w:t xml:space="preserve">La production de ces sondages s’accompagne d’une </w:t>
      </w:r>
      <w:proofErr w:type="spellStart"/>
      <w:r w:rsidRPr="00AE3302">
        <w:t>reconceptualisation</w:t>
      </w:r>
      <w:proofErr w:type="spellEnd"/>
      <w:r w:rsidRPr="00AE3302">
        <w:t xml:space="preserve"> des refus de la vaccination, un phénomène ancien dont les ressorts évolue</w:t>
      </w:r>
      <w:r>
        <w:t>nt</w:t>
      </w:r>
      <w:r w:rsidRPr="00AE3302">
        <w:t xml:space="preserve"> et nécessitent</w:t>
      </w:r>
      <w:r>
        <w:t>, sans aucun doute,</w:t>
      </w:r>
      <w:r w:rsidRPr="00AE3302">
        <w:t xml:space="preserve"> de nouveaux type</w:t>
      </w:r>
      <w:r>
        <w:t>s</w:t>
      </w:r>
      <w:r w:rsidRPr="00AE3302">
        <w:t xml:space="preserve"> d’analyse. Au début des années 2010, la notion turbulente de résistance, coura</w:t>
      </w:r>
      <w:r>
        <w:t xml:space="preserve">mment utilisée par </w:t>
      </w:r>
      <w:r w:rsidRPr="00AE3302">
        <w:t>les historiens, et celle d’acceptabilité</w:t>
      </w:r>
      <w:r>
        <w:t>, plus en phase avec un idéal d’objectivation sociologique</w:t>
      </w:r>
      <w:r w:rsidRPr="00AE3302">
        <w:t>, ont été remplacées par un vocable qui</w:t>
      </w:r>
      <w:r>
        <w:t xml:space="preserve"> a</w:t>
      </w:r>
      <w:r w:rsidRPr="00AE3302">
        <w:t xml:space="preserve"> fait</w:t>
      </w:r>
      <w:r>
        <w:t xml:space="preserve"> d’emblée</w:t>
      </w:r>
      <w:r w:rsidRPr="00AE3302">
        <w:t xml:space="preserve"> fortune : l’hésitation ou </w:t>
      </w:r>
      <w:proofErr w:type="spellStart"/>
      <w:r w:rsidRPr="00AE3302">
        <w:rPr>
          <w:i/>
        </w:rPr>
        <w:t>hesitancy</w:t>
      </w:r>
      <w:proofErr w:type="spellEnd"/>
      <w:r w:rsidRPr="00AE3302">
        <w:t>. Le terme est rapidement repris à son compte par l’OMS qui propos</w:t>
      </w:r>
      <w:r>
        <w:t>e</w:t>
      </w:r>
      <w:r w:rsidRPr="00AE3302">
        <w:t xml:space="preserve"> de le clarifier : « L’hésitation vaccinale désigne un retard dans l’acceptation ou un refus des vaccins malgré la disponibilité des services vaccinaux</w:t>
      </w:r>
      <w:r w:rsidRPr="005B6646">
        <w:rPr>
          <w:rStyle w:val="Appelnotedebasdep"/>
          <w:rFonts w:ascii="Times New Roman" w:eastAsia="MS Mincho" w:hAnsi="Times New Roman" w:cs="Times New Roman"/>
          <w:bCs/>
          <w:sz w:val="22"/>
          <w:szCs w:val="22"/>
        </w:rPr>
        <w:footnoteReference w:id="3"/>
      </w:r>
      <w:r w:rsidRPr="00AE3302">
        <w:t xml:space="preserve">. » Cette notion ne </w:t>
      </w:r>
      <w:r>
        <w:t>renvoie</w:t>
      </w:r>
      <w:r w:rsidRPr="00AE3302">
        <w:t xml:space="preserve"> pas </w:t>
      </w:r>
      <w:r>
        <w:t>au</w:t>
      </w:r>
      <w:r w:rsidRPr="00AE3302">
        <w:t xml:space="preserve"> refus ferme, militant et organisé, finalement rare, mais </w:t>
      </w:r>
      <w:r>
        <w:t xml:space="preserve">recouvre </w:t>
      </w:r>
      <w:r w:rsidRPr="00AE3302">
        <w:t xml:space="preserve">le spectre plus large des personnes qui n’adhèrent pas à la vaccination sans </w:t>
      </w:r>
      <w:r>
        <w:t xml:space="preserve">se poser et sans poser de </w:t>
      </w:r>
      <w:r w:rsidRPr="00AE3302">
        <w:t>question</w:t>
      </w:r>
      <w:r>
        <w:t>s</w:t>
      </w:r>
      <w:r w:rsidRPr="00AE3302">
        <w:t>. C</w:t>
      </w:r>
      <w:r>
        <w:t>hemin</w:t>
      </w:r>
      <w:r w:rsidRPr="00AE3302">
        <w:t xml:space="preserve"> faisant, l’</w:t>
      </w:r>
      <w:proofErr w:type="spellStart"/>
      <w:r w:rsidRPr="00AE3302">
        <w:rPr>
          <w:i/>
        </w:rPr>
        <w:t>hesitancy</w:t>
      </w:r>
      <w:proofErr w:type="spellEnd"/>
      <w:r w:rsidRPr="00AE3302">
        <w:t xml:space="preserve"> élargit considérablement la population qui </w:t>
      </w:r>
      <w:r>
        <w:t>inquiète les autorités de</w:t>
      </w:r>
      <w:r w:rsidRPr="005B6646">
        <w:t xml:space="preserve"> santé publique</w:t>
      </w:r>
      <w:r w:rsidRPr="00AE3302">
        <w:t>. Elle signe aussi, en apparence du moins, un abandon du moralisme qui satur</w:t>
      </w:r>
      <w:r>
        <w:t>ait</w:t>
      </w:r>
      <w:r w:rsidRPr="00AE3302">
        <w:t xml:space="preserve"> les débats</w:t>
      </w:r>
      <w:r>
        <w:t xml:space="preserve"> sur le sujet</w:t>
      </w:r>
      <w:r w:rsidRPr="00AE3302">
        <w:t xml:space="preserve">. </w:t>
      </w:r>
      <w:r>
        <w:t>Les expressions désignant les personnes renâclant à la vaccination ont</w:t>
      </w:r>
      <w:r w:rsidRPr="005613B5">
        <w:t xml:space="preserve"> </w:t>
      </w:r>
      <w:r>
        <w:t xml:space="preserve">été nettement dépréciatives par le passé. </w:t>
      </w:r>
      <w:r w:rsidRPr="00AE3302">
        <w:t xml:space="preserve">Heidi </w:t>
      </w:r>
      <w:proofErr w:type="spellStart"/>
      <w:r w:rsidRPr="00AE3302">
        <w:t>Larson</w:t>
      </w:r>
      <w:proofErr w:type="spellEnd"/>
      <w:r w:rsidRPr="00AE3302">
        <w:t xml:space="preserve"> invitait récemment à renoncer à l’expression d</w:t>
      </w:r>
      <w:proofErr w:type="gramStart"/>
      <w:r w:rsidRPr="00AE3302">
        <w:t>’«</w:t>
      </w:r>
      <w:proofErr w:type="gramEnd"/>
      <w:r w:rsidRPr="00AE3302">
        <w:t> </w:t>
      </w:r>
      <w:proofErr w:type="spellStart"/>
      <w:r w:rsidRPr="00AE3302">
        <w:t>antivax</w:t>
      </w:r>
      <w:proofErr w:type="spellEnd"/>
      <w:r w:rsidRPr="00AE3302">
        <w:t xml:space="preserve"> », selon elle trop </w:t>
      </w:r>
      <w:r>
        <w:t>agressive</w:t>
      </w:r>
      <w:r w:rsidRPr="00AE3302">
        <w:t xml:space="preserve">, pour lui préférer une approche </w:t>
      </w:r>
      <w:r>
        <w:t xml:space="preserve">plus </w:t>
      </w:r>
      <w:r w:rsidRPr="00AE3302">
        <w:t xml:space="preserve">compréhensive du rapport </w:t>
      </w:r>
      <w:r>
        <w:t>des citoyens</w:t>
      </w:r>
      <w:r w:rsidRPr="00AE3302">
        <w:t xml:space="preserve"> à la science</w:t>
      </w:r>
      <w:r>
        <w:rPr>
          <w:rStyle w:val="Appelnotedebasdep"/>
          <w:rFonts w:ascii="Times New Roman" w:eastAsia="MS Mincho" w:hAnsi="Times New Roman" w:cs="Times New Roman"/>
          <w:bCs/>
          <w:sz w:val="22"/>
          <w:szCs w:val="22"/>
        </w:rPr>
        <w:footnoteReference w:id="4"/>
      </w:r>
      <w:r w:rsidRPr="00AE3302">
        <w:t xml:space="preserve">. Dans </w:t>
      </w:r>
      <w:proofErr w:type="spellStart"/>
      <w:r w:rsidRPr="00AE3302">
        <w:rPr>
          <w:i/>
        </w:rPr>
        <w:t>Stuck</w:t>
      </w:r>
      <w:proofErr w:type="spellEnd"/>
      <w:r w:rsidRPr="00AE3302">
        <w:t>, son livre qui couronne</w:t>
      </w:r>
      <w:r>
        <w:t> </w:t>
      </w:r>
      <w:r w:rsidRPr="00AE3302">
        <w:t>une décennie de recherche</w:t>
      </w:r>
      <w:r>
        <w:t>s</w:t>
      </w:r>
      <w:r w:rsidRPr="00AE3302">
        <w:t xml:space="preserve"> sur le sujet, elle revient sur l’histoire d’un jeune homme que </w:t>
      </w:r>
      <w:r>
        <w:t>s</w:t>
      </w:r>
      <w:r w:rsidRPr="00AE3302">
        <w:t>es parents n’ont pas fait vacciner</w:t>
      </w:r>
      <w:r>
        <w:t xml:space="preserve">. Dans les conférences mondiales où on l’invite, le garçon présente </w:t>
      </w:r>
      <w:r w:rsidRPr="00AE3302">
        <w:t>cet</w:t>
      </w:r>
      <w:r>
        <w:t>te abstention</w:t>
      </w:r>
      <w:r w:rsidRPr="00AE3302">
        <w:t xml:space="preserve"> comme un geste d’amour maternel, que lui-même désapprouve mais qu’il </w:t>
      </w:r>
      <w:r>
        <w:t>encourage à</w:t>
      </w:r>
      <w:r w:rsidRPr="00AE3302">
        <w:t xml:space="preserve"> comprendre</w:t>
      </w:r>
      <w:r>
        <w:t xml:space="preserve"> avec empathie</w:t>
      </w:r>
      <w:r w:rsidRPr="00AE3302">
        <w:t xml:space="preserve">. Plus aimable que la terminologie habituelle, la notion d’hésitation vaccinale est néanmoins </w:t>
      </w:r>
      <w:r>
        <w:t>susceptible de recevoir des interprétations autres que celles du grain de sable qui bloque la machine à vacciner</w:t>
      </w:r>
      <w:r w:rsidRPr="00AE3302">
        <w:t>.</w:t>
      </w:r>
      <w:r w:rsidRPr="00B37763">
        <w:t xml:space="preserve"> </w:t>
      </w:r>
      <w:r>
        <w:t xml:space="preserve">Car elle </w:t>
      </w:r>
      <w:r w:rsidRPr="00AE3302">
        <w:t>peut</w:t>
      </w:r>
      <w:r>
        <w:t xml:space="preserve"> aussi signifier le</w:t>
      </w:r>
      <w:r w:rsidRPr="00AE3302">
        <w:t xml:space="preserve"> maintien de la réserve critique qui </w:t>
      </w:r>
      <w:r>
        <w:t>dénote</w:t>
      </w:r>
      <w:r w:rsidRPr="00AE3302">
        <w:t xml:space="preserve"> le bon citoyen et sa capacité à faire marcher la démocratie sanitaire.</w:t>
      </w:r>
    </w:p>
    <w:p w14:paraId="50CC5B83" w14:textId="75CC30B9" w:rsidR="00D15D90" w:rsidRPr="00AE3302" w:rsidRDefault="00D15D90" w:rsidP="00377870">
      <w:pPr>
        <w:pStyle w:val="Corps"/>
      </w:pPr>
      <w:r>
        <w:t xml:space="preserve">Avec cette </w:t>
      </w:r>
      <w:r w:rsidRPr="005B6646">
        <w:t>t</w:t>
      </w:r>
      <w:r w:rsidRPr="00AE3302">
        <w:t xml:space="preserve">erminologie </w:t>
      </w:r>
      <w:r>
        <w:t>bientôt adoptée</w:t>
      </w:r>
      <w:r w:rsidRPr="00AE3302">
        <w:t xml:space="preserve"> dans </w:t>
      </w:r>
      <w:r>
        <w:t>l</w:t>
      </w:r>
      <w:r w:rsidRPr="00AE3302">
        <w:t xml:space="preserve">es </w:t>
      </w:r>
      <w:r>
        <w:t>milieux</w:t>
      </w:r>
      <w:r w:rsidRPr="00AE3302">
        <w:t xml:space="preserve"> onusiens</w:t>
      </w:r>
      <w:r>
        <w:t>, on</w:t>
      </w:r>
      <w:r w:rsidRPr="00AE3302">
        <w:t xml:space="preserve"> </w:t>
      </w:r>
      <w:r>
        <w:t>se situe à l’évidence</w:t>
      </w:r>
      <w:r w:rsidRPr="00AE3302">
        <w:t xml:space="preserve"> dans le </w:t>
      </w:r>
      <w:r w:rsidRPr="005B6646">
        <w:t>domaine</w:t>
      </w:r>
      <w:r w:rsidRPr="00AE3302">
        <w:t xml:space="preserve"> </w:t>
      </w:r>
      <w:r>
        <w:t xml:space="preserve">de </w:t>
      </w:r>
      <w:r w:rsidRPr="00AE3302">
        <w:t xml:space="preserve">la </w:t>
      </w:r>
      <w:r w:rsidR="00377870">
        <w:t>« </w:t>
      </w:r>
      <w:r w:rsidRPr="00AE3302">
        <w:t xml:space="preserve">Global </w:t>
      </w:r>
      <w:proofErr w:type="spellStart"/>
      <w:r w:rsidRPr="00AE3302">
        <w:t>Health</w:t>
      </w:r>
      <w:proofErr w:type="spellEnd"/>
      <w:r w:rsidR="00377870">
        <w:t> »</w:t>
      </w:r>
      <w:r>
        <w:t>. Ce</w:t>
      </w:r>
      <w:r w:rsidRPr="00AE3302">
        <w:t xml:space="preserve"> </w:t>
      </w:r>
      <w:r>
        <w:t>régime de la santé mondiale, constitué dans les années 1990, se caractérise par une alliance</w:t>
      </w:r>
      <w:r w:rsidRPr="00AE3302">
        <w:t xml:space="preserve"> d’agences internationales</w:t>
      </w:r>
      <w:r>
        <w:t xml:space="preserve"> et </w:t>
      </w:r>
      <w:r w:rsidRPr="00AE3302">
        <w:t>de fondations privées</w:t>
      </w:r>
      <w:r>
        <w:t xml:space="preserve"> dotées de grands moyens, au premier rang desquelles se trouve la Fondation Gates. L’évaluation étant leur valeur cardinale, les acteurs fonctionnent à coup de statistiques, avec une priorité donnée aux analyses en termes de coût-bénéfice.</w:t>
      </w:r>
      <w:r w:rsidRPr="00AE3302">
        <w:t xml:space="preserve"> </w:t>
      </w:r>
      <w:r>
        <w:t>L</w:t>
      </w:r>
      <w:r w:rsidRPr="00AE3302">
        <w:t>’hésitation vaccinale</w:t>
      </w:r>
      <w:r>
        <w:t xml:space="preserve"> semble </w:t>
      </w:r>
      <w:r w:rsidRPr="00AE3302">
        <w:t>marque</w:t>
      </w:r>
      <w:r>
        <w:t xml:space="preserve">r </w:t>
      </w:r>
      <w:r w:rsidRPr="00AE3302">
        <w:t xml:space="preserve">une </w:t>
      </w:r>
      <w:r>
        <w:t xml:space="preserve">nouvelle </w:t>
      </w:r>
      <w:r w:rsidRPr="00AE3302">
        <w:t xml:space="preserve">étape métrologique </w:t>
      </w:r>
      <w:r>
        <w:t xml:space="preserve">de la Global </w:t>
      </w:r>
      <w:proofErr w:type="spellStart"/>
      <w:r>
        <w:t>Health</w:t>
      </w:r>
      <w:proofErr w:type="spellEnd"/>
      <w:r>
        <w:t xml:space="preserve"> </w:t>
      </w:r>
      <w:r w:rsidRPr="00AE3302">
        <w:t xml:space="preserve">avec </w:t>
      </w:r>
      <w:r>
        <w:t>s</w:t>
      </w:r>
      <w:r w:rsidRPr="00AE3302">
        <w:t>es classements</w:t>
      </w:r>
      <w:r>
        <w:t xml:space="preserve"> internationaux</w:t>
      </w:r>
      <w:r w:rsidRPr="00AE3302">
        <w:t xml:space="preserve"> </w:t>
      </w:r>
      <w:r>
        <w:t xml:space="preserve">portant </w:t>
      </w:r>
      <w:r w:rsidRPr="00AE3302">
        <w:t>sur l</w:t>
      </w:r>
      <w:r>
        <w:t>es</w:t>
      </w:r>
      <w:r w:rsidRPr="00AE3302">
        <w:t xml:space="preserve"> perception</w:t>
      </w:r>
      <w:r>
        <w:t xml:space="preserve">s </w:t>
      </w:r>
      <w:r w:rsidRPr="005B6646">
        <w:t>et les intentions</w:t>
      </w:r>
      <w:r>
        <w:t xml:space="preserve"> en matière de vaccination</w:t>
      </w:r>
      <w:r w:rsidRPr="00AE3302">
        <w:t xml:space="preserve">. </w:t>
      </w:r>
      <w:r>
        <w:t>L</w:t>
      </w:r>
      <w:r w:rsidRPr="00AE3302">
        <w:t>es sondages</w:t>
      </w:r>
      <w:r>
        <w:t xml:space="preserve"> d’opinion </w:t>
      </w:r>
      <w:r w:rsidRPr="00AE3302">
        <w:t>confirment une transformation du rapport au pouvoir médical sur laquelle s’accordent les observateurs occidentaux depuis une trentaine d’année</w:t>
      </w:r>
      <w:r>
        <w:t>s</w:t>
      </w:r>
      <w:r w:rsidRPr="00AE3302">
        <w:t xml:space="preserve">. </w:t>
      </w:r>
      <w:r>
        <w:t xml:space="preserve">Ils </w:t>
      </w:r>
      <w:r w:rsidRPr="00AE3302">
        <w:t xml:space="preserve">répondent </w:t>
      </w:r>
      <w:r>
        <w:t xml:space="preserve">aussi </w:t>
      </w:r>
      <w:r w:rsidRPr="00AE3302">
        <w:t xml:space="preserve">aux </w:t>
      </w:r>
      <w:r>
        <w:t>inquiétudes</w:t>
      </w:r>
      <w:r w:rsidRPr="00AE3302">
        <w:t xml:space="preserve"> </w:t>
      </w:r>
      <w:r>
        <w:t>sur</w:t>
      </w:r>
      <w:r w:rsidRPr="00AE3302">
        <w:t xml:space="preserve"> l’</w:t>
      </w:r>
      <w:r>
        <w:t>ébranlement de l’autorité scientifique par l</w:t>
      </w:r>
      <w:r w:rsidRPr="00AE3302">
        <w:t>es réseaux sociaux</w:t>
      </w:r>
      <w:r>
        <w:t xml:space="preserve">. C’est un rapprochement très souvent fait, et pas seulement dans les textes de </w:t>
      </w:r>
      <w:proofErr w:type="spellStart"/>
      <w:r>
        <w:t>Larson</w:t>
      </w:r>
      <w:proofErr w:type="spellEnd"/>
      <w:r>
        <w:t xml:space="preserve"> : « À quoi attribuez-vous l’augmentation </w:t>
      </w:r>
      <w:r>
        <w:lastRenderedPageBreak/>
        <w:t>de l’hésitation vaccinale » demandait un journaliste à Melinda Gates</w:t>
      </w:r>
      <w:r w:rsidR="00377870">
        <w:t xml:space="preserve"> qui répondit :</w:t>
      </w:r>
      <w:r>
        <w:t xml:space="preserve"> « Je pense, pour être tout à fait honnête, à l’arrivée des réseaux sociaux</w:t>
      </w:r>
      <w:r>
        <w:rPr>
          <w:rStyle w:val="Appelnotedebasdep"/>
          <w:rFonts w:ascii="Times New Roman" w:eastAsia="MS Mincho" w:hAnsi="Times New Roman" w:cs="Times New Roman"/>
          <w:bCs/>
          <w:sz w:val="22"/>
          <w:szCs w:val="22"/>
        </w:rPr>
        <w:footnoteReference w:id="5"/>
      </w:r>
      <w:r>
        <w:t>. »</w:t>
      </w:r>
      <w:r w:rsidRPr="00AE3302">
        <w:t xml:space="preserve"> </w:t>
      </w:r>
    </w:p>
    <w:p w14:paraId="4ADF9E22" w14:textId="6F9DC098" w:rsidR="00D15D90" w:rsidRDefault="00D15D90" w:rsidP="00377870">
      <w:pPr>
        <w:pStyle w:val="Corps"/>
      </w:pPr>
      <w:r>
        <w:t>Mais e</w:t>
      </w:r>
      <w:r w:rsidRPr="00AE3302">
        <w:t xml:space="preserve">n braquant l’attention sur </w:t>
      </w:r>
      <w:r>
        <w:t xml:space="preserve">ce qui n’est au départ qu’un </w:t>
      </w:r>
      <w:r w:rsidRPr="006B571B">
        <w:t>sentiment</w:t>
      </w:r>
      <w:r>
        <w:t xml:space="preserve"> exprimé par les individus interrogés,</w:t>
      </w:r>
      <w:r w:rsidRPr="00AE3302">
        <w:t xml:space="preserve"> </w:t>
      </w:r>
      <w:r>
        <w:t>ces sondages</w:t>
      </w:r>
      <w:r w:rsidRPr="00AE3302">
        <w:t xml:space="preserve"> donnent </w:t>
      </w:r>
      <w:r>
        <w:t>au phénomène de l’hésitation de</w:t>
      </w:r>
      <w:r w:rsidRPr="00AE3302">
        <w:t xml:space="preserve"> l’ampleur</w:t>
      </w:r>
      <w:r>
        <w:t xml:space="preserve"> et un caractère d’urgence</w:t>
      </w:r>
      <w:r w:rsidRPr="00AE3302">
        <w:t>, alors que</w:t>
      </w:r>
      <w:r>
        <w:t>,</w:t>
      </w:r>
      <w:r w:rsidRPr="00AE3302">
        <w:t xml:space="preserve"> pour l’essentiel</w:t>
      </w:r>
      <w:r>
        <w:t>,</w:t>
      </w:r>
      <w:r w:rsidRPr="00AE3302">
        <w:t xml:space="preserve"> le bilan des vaccinations </w:t>
      </w:r>
      <w:proofErr w:type="gramStart"/>
      <w:r>
        <w:t>hors</w:t>
      </w:r>
      <w:proofErr w:type="gramEnd"/>
      <w:r>
        <w:t xml:space="preserve"> Covid-19 </w:t>
      </w:r>
      <w:r w:rsidRPr="00AE3302">
        <w:t xml:space="preserve">demeure très positif en </w:t>
      </w:r>
      <w:r>
        <w:t>France</w:t>
      </w:r>
      <w:r w:rsidRPr="00AE3302">
        <w:t xml:space="preserve">. </w:t>
      </w:r>
      <w:r>
        <w:t xml:space="preserve">Pour preuve, </w:t>
      </w:r>
      <w:r w:rsidRPr="00AE3302">
        <w:t>Sant</w:t>
      </w:r>
      <w:r w:rsidRPr="007237E6">
        <w:t>é</w:t>
      </w:r>
      <w:r w:rsidRPr="00AE3302">
        <w:t xml:space="preserve"> Publique France a publié à l’automne 2020 les derniers résultats de couverture pour les vaccinations de l’enfan</w:t>
      </w:r>
      <w:r>
        <w:t>t</w:t>
      </w:r>
      <w:r w:rsidRPr="00AE3302">
        <w:t xml:space="preserve">, portant sur la période </w:t>
      </w:r>
      <w:r>
        <w:t>antérieure à</w:t>
      </w:r>
      <w:r w:rsidRPr="00AE3302">
        <w:t xml:space="preserve"> l’extension des obligations</w:t>
      </w:r>
      <w:r>
        <w:t>,</w:t>
      </w:r>
      <w:r w:rsidRPr="00AE3302">
        <w:t xml:space="preserve"> instaurée en janvier 2018. </w:t>
      </w:r>
      <w:r w:rsidRPr="007237E6">
        <w:t xml:space="preserve">Avant </w:t>
      </w:r>
      <w:r>
        <w:t xml:space="preserve">ces changements législatifs, </w:t>
      </w:r>
      <w:r w:rsidRPr="007237E6">
        <w:t>l</w:t>
      </w:r>
      <w:r w:rsidRPr="00AE3302">
        <w:t>es taux dépassaient déjà l</w:t>
      </w:r>
      <w:r>
        <w:t>’</w:t>
      </w:r>
      <w:r w:rsidRPr="00AE3302">
        <w:t>objectif de 95</w:t>
      </w:r>
      <w:r w:rsidR="00377870">
        <w:t> </w:t>
      </w:r>
      <w:r w:rsidRPr="00AE3302">
        <w:t>% pour la diphtérie, le tétanos, la polio</w:t>
      </w:r>
      <w:r>
        <w:t>myélite</w:t>
      </w:r>
      <w:r w:rsidRPr="00AE3302">
        <w:t>, la coqueluche et l’</w:t>
      </w:r>
      <w:r>
        <w:rPr>
          <w:i/>
        </w:rPr>
        <w:t>H</w:t>
      </w:r>
      <w:r w:rsidRPr="00AE3302">
        <w:rPr>
          <w:i/>
        </w:rPr>
        <w:t>aemophilus influenza</w:t>
      </w:r>
      <w:r>
        <w:rPr>
          <w:i/>
        </w:rPr>
        <w:t>e</w:t>
      </w:r>
      <w:r w:rsidRPr="00AE3302">
        <w:rPr>
          <w:i/>
        </w:rPr>
        <w:t xml:space="preserve"> </w:t>
      </w:r>
      <w:r w:rsidRPr="00AE3302">
        <w:t>de type B. Ils étaient supérieurs à 90</w:t>
      </w:r>
      <w:r w:rsidR="00377870">
        <w:t> </w:t>
      </w:r>
      <w:r w:rsidRPr="00AE3302">
        <w:t>% pour l’hépatite et le pneumocoque. À 90,5</w:t>
      </w:r>
      <w:r w:rsidR="00377870">
        <w:t> </w:t>
      </w:r>
      <w:r w:rsidRPr="00AE3302">
        <w:t xml:space="preserve">%, </w:t>
      </w:r>
      <w:r>
        <w:t xml:space="preserve">la </w:t>
      </w:r>
      <w:r w:rsidRPr="00AE3302">
        <w:t xml:space="preserve">première dose de rougeole-oreillons-rubéole était en dessous du </w:t>
      </w:r>
      <w:r>
        <w:t>seuil</w:t>
      </w:r>
      <w:r w:rsidRPr="00AE3302">
        <w:t xml:space="preserve"> souhaité</w:t>
      </w:r>
      <w:r>
        <w:t>, mais</w:t>
      </w:r>
      <w:r w:rsidRPr="00AE3302">
        <w:t xml:space="preserve"> les projections portant sur les enfants nés au premier semestre 2018</w:t>
      </w:r>
      <w:r>
        <w:t>, donc après l’extension de l’obligation,</w:t>
      </w:r>
      <w:r w:rsidRPr="007237E6">
        <w:t xml:space="preserve"> </w:t>
      </w:r>
      <w:r w:rsidRPr="00AE3302">
        <w:t>indiqu</w:t>
      </w:r>
      <w:r>
        <w:t>ai</w:t>
      </w:r>
      <w:r w:rsidRPr="00AE3302">
        <w:t>ent une remontée à 93,7</w:t>
      </w:r>
      <w:r w:rsidR="00377870">
        <w:t> </w:t>
      </w:r>
      <w:r w:rsidRPr="00AE3302">
        <w:t>%</w:t>
      </w:r>
      <w:r>
        <w:t>, presque le taux idéal</w:t>
      </w:r>
      <w:r w:rsidRPr="00AE3302">
        <w:t xml:space="preserve">. </w:t>
      </w:r>
    </w:p>
    <w:p w14:paraId="7FC26D9E" w14:textId="77777777" w:rsidR="00D15D90" w:rsidRDefault="00D15D90" w:rsidP="00D15D90">
      <w:pPr>
        <w:shd w:val="clear" w:color="auto" w:fill="FFFFFF"/>
        <w:spacing w:before="100" w:beforeAutospacing="1" w:after="100" w:afterAutospacing="1"/>
        <w:jc w:val="both"/>
        <w:rPr>
          <w:rFonts w:ascii="Times New Roman" w:eastAsia="MS Mincho" w:hAnsi="Times New Roman" w:cs="Times New Roman"/>
          <w:bCs/>
          <w:sz w:val="22"/>
          <w:szCs w:val="22"/>
          <w:lang w:eastAsia="fr-FR"/>
        </w:rPr>
      </w:pPr>
      <w:r w:rsidRPr="001E2D4B">
        <w:rPr>
          <w:rFonts w:ascii="Times New Roman" w:eastAsia="MS Mincho" w:hAnsi="Times New Roman" w:cs="Times New Roman"/>
          <w:bCs/>
          <w:noProof/>
          <w:sz w:val="22"/>
          <w:szCs w:val="22"/>
          <w:lang w:eastAsia="fr-FR"/>
        </w:rPr>
        <w:drawing>
          <wp:inline distT="0" distB="0" distL="0" distR="0" wp14:anchorId="0A0EBAD9" wp14:editId="7222D399">
            <wp:extent cx="8012093" cy="269102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49400" cy="2703554"/>
                    </a:xfrm>
                    <a:prstGeom prst="rect">
                      <a:avLst/>
                    </a:prstGeom>
                  </pic:spPr>
                </pic:pic>
              </a:graphicData>
            </a:graphic>
          </wp:inline>
        </w:drawing>
      </w:r>
    </w:p>
    <w:p w14:paraId="60F43C7C" w14:textId="77777777" w:rsidR="00D15D90" w:rsidRDefault="00D15D90" w:rsidP="00377870">
      <w:pPr>
        <w:pStyle w:val="VDILgende"/>
        <w:rPr>
          <w:rFonts w:eastAsia="MS Mincho"/>
        </w:rPr>
      </w:pPr>
      <w:r>
        <w:rPr>
          <w:rFonts w:eastAsia="MS Mincho"/>
        </w:rPr>
        <w:t>Synthèse des couvertures vaccinales de l’enfance depuis 1998 établie par Santé Publique France</w:t>
      </w:r>
    </w:p>
    <w:p w14:paraId="14C14514" w14:textId="7E1861FB" w:rsidR="00D15D90" w:rsidRPr="000F190F" w:rsidRDefault="00D15D90" w:rsidP="00377870">
      <w:pPr>
        <w:pStyle w:val="VDIIntertitre"/>
      </w:pPr>
      <w:r>
        <w:t>L</w:t>
      </w:r>
      <w:r w:rsidR="002D477E">
        <w:t>’</w:t>
      </w:r>
      <w:r>
        <w:t>écart entre déclarations et comportements</w:t>
      </w:r>
    </w:p>
    <w:p w14:paraId="5583D68C" w14:textId="0F660929" w:rsidR="00D15D90" w:rsidRPr="002E1AEC" w:rsidRDefault="00D15D90" w:rsidP="00377870">
      <w:pPr>
        <w:pStyle w:val="Corps"/>
        <w:rPr>
          <w:highlight w:val="yellow"/>
        </w:rPr>
      </w:pPr>
      <w:r>
        <w:t>L</w:t>
      </w:r>
      <w:r w:rsidRPr="00AE3302">
        <w:t>a crise des perception</w:t>
      </w:r>
      <w:r>
        <w:t xml:space="preserve">s de la vaccination </w:t>
      </w:r>
      <w:r w:rsidRPr="00AE3302">
        <w:t xml:space="preserve">ne </w:t>
      </w:r>
      <w:r w:rsidRPr="007237E6">
        <w:t>se dégage</w:t>
      </w:r>
      <w:r w:rsidRPr="00AE3302">
        <w:t xml:space="preserve"> </w:t>
      </w:r>
      <w:r>
        <w:t xml:space="preserve">donc </w:t>
      </w:r>
      <w:r w:rsidRPr="00AE3302">
        <w:t>pas</w:t>
      </w:r>
      <w:r w:rsidRPr="007237E6">
        <w:t xml:space="preserve"> avec évidence </w:t>
      </w:r>
      <w:r w:rsidRPr="00AE3302">
        <w:t>de la compilatio</w:t>
      </w:r>
      <w:r>
        <w:t>n</w:t>
      </w:r>
      <w:r w:rsidRPr="00AE3302">
        <w:t xml:space="preserve"> sur vingt ans des couvertures vaccinales de l’enfan</w:t>
      </w:r>
      <w:r>
        <w:t>ce</w:t>
      </w:r>
      <w:r w:rsidRPr="00AE3302">
        <w:t xml:space="preserve">. </w:t>
      </w:r>
      <w:r>
        <w:t>Les taux des dernières années ne se sont pas non plus effondrés par rapport aux estimations imparfaites des années 1980. Bien sûr</w:t>
      </w:r>
      <w:r w:rsidRPr="00AE3302">
        <w:t>, des inégalité</w:t>
      </w:r>
      <w:r>
        <w:t>s</w:t>
      </w:r>
      <w:r w:rsidRPr="00AE3302">
        <w:t xml:space="preserve"> </w:t>
      </w:r>
      <w:r w:rsidRPr="007237E6">
        <w:t>régionales</w:t>
      </w:r>
      <w:r w:rsidRPr="00AE3302">
        <w:t xml:space="preserve"> peuvent créer des terrains propices à une épidémie de rougeole</w:t>
      </w:r>
      <w:r>
        <w:t xml:space="preserve">. Par ailleurs, </w:t>
      </w:r>
      <w:r w:rsidRPr="00AE3302">
        <w:t>ces taux ne concern</w:t>
      </w:r>
      <w:r>
        <w:t>a</w:t>
      </w:r>
      <w:r w:rsidRPr="00AE3302">
        <w:t>nt que les vaccinations de l’enfance ne représentent</w:t>
      </w:r>
      <w:r w:rsidRPr="007237E6">
        <w:t xml:space="preserve"> </w:t>
      </w:r>
      <w:r>
        <w:lastRenderedPageBreak/>
        <w:t xml:space="preserve">évidemment </w:t>
      </w:r>
      <w:r w:rsidRPr="00AE3302">
        <w:t xml:space="preserve">qu’une fraction de la population </w:t>
      </w:r>
      <w:r>
        <w:t xml:space="preserve">générale </w:t>
      </w:r>
      <w:r w:rsidRPr="007237E6">
        <w:t xml:space="preserve">amenée à se faire vacciner contre le </w:t>
      </w:r>
      <w:r>
        <w:t>C</w:t>
      </w:r>
      <w:r w:rsidRPr="007237E6">
        <w:t>ovid-19</w:t>
      </w:r>
      <w:r w:rsidRPr="00AE3302">
        <w:t>. Il n’en reste pas moins que l’image catastrophique donnée par un</w:t>
      </w:r>
      <w:r w:rsidRPr="007237E6">
        <w:t>e</w:t>
      </w:r>
      <w:r w:rsidRPr="00AE3302">
        <w:t xml:space="preserve"> décennie de sondages ne </w:t>
      </w:r>
      <w:r>
        <w:t>correspond pas à</w:t>
      </w:r>
      <w:r w:rsidRPr="00AE3302">
        <w:t xml:space="preserve"> la réalité </w:t>
      </w:r>
      <w:r w:rsidRPr="007237E6">
        <w:t xml:space="preserve">de la couverture vaccinale </w:t>
      </w:r>
      <w:r>
        <w:t xml:space="preserve">telle que </w:t>
      </w:r>
      <w:r w:rsidRPr="00AE3302">
        <w:t>mesurée par une agence de l’État</w:t>
      </w:r>
      <w:r>
        <w:t xml:space="preserve">, </w:t>
      </w:r>
      <w:r w:rsidRPr="003D052B">
        <w:t xml:space="preserve">qui </w:t>
      </w:r>
      <w:r>
        <w:t>place</w:t>
      </w:r>
      <w:r w:rsidRPr="003D052B">
        <w:t xml:space="preserve"> la France dans la moyenne des pays de l’OCDE</w:t>
      </w:r>
      <w:r w:rsidRPr="00AE3302">
        <w:t>.</w:t>
      </w:r>
      <w:r>
        <w:t xml:space="preserve"> On doit donc, lorsqu’on évoque ces sondages d’opinion, souligner immédiatement l’écart entre les déclarations des individus et leurs comportements. </w:t>
      </w:r>
    </w:p>
    <w:p w14:paraId="3DCAA13C" w14:textId="587A2F34" w:rsidR="00D15D90" w:rsidRDefault="00D15D90" w:rsidP="00377870">
      <w:pPr>
        <w:pStyle w:val="Corps"/>
      </w:pPr>
      <w:r w:rsidRPr="00DA3E0D">
        <w:t>Si</w:t>
      </w:r>
      <w:r>
        <w:t xml:space="preserve"> l’on peut débattre de</w:t>
      </w:r>
      <w:r w:rsidRPr="00DA3E0D">
        <w:t xml:space="preserve"> </w:t>
      </w:r>
      <w:r>
        <w:t>l’ampleur des</w:t>
      </w:r>
      <w:r w:rsidRPr="00DA3E0D">
        <w:t xml:space="preserve"> effets sanitaires</w:t>
      </w:r>
      <w:r>
        <w:t xml:space="preserve"> de cette hésitation</w:t>
      </w:r>
      <w:r w:rsidRPr="00DA3E0D">
        <w:t xml:space="preserve">, le problème politique </w:t>
      </w:r>
      <w:r>
        <w:t>quant à lui</w:t>
      </w:r>
      <w:r w:rsidRPr="00DA3E0D">
        <w:t xml:space="preserve"> saute aux yeux, puisque la répétition de</w:t>
      </w:r>
      <w:r>
        <w:t xml:space="preserve">s </w:t>
      </w:r>
      <w:r w:rsidRPr="00DA3E0D">
        <w:t xml:space="preserve">sondages transforme en destin </w:t>
      </w:r>
      <w:r>
        <w:t>– l’exception française</w:t>
      </w:r>
      <w:r>
        <w:rPr>
          <w:rStyle w:val="Appelnotedebasdep"/>
          <w:rFonts w:ascii="Times New Roman" w:eastAsia="MS Mincho" w:hAnsi="Times New Roman" w:cs="Times New Roman"/>
          <w:bCs/>
          <w:sz w:val="22"/>
          <w:szCs w:val="22"/>
        </w:rPr>
        <w:footnoteReference w:id="6"/>
      </w:r>
      <w:r>
        <w:t xml:space="preserve">, encore ! – une </w:t>
      </w:r>
      <w:r w:rsidRPr="00DA3E0D">
        <w:t xml:space="preserve">situation par nature volatile – qu’est-ce qu’un sondage d’opinion, sinon un instantané ? </w:t>
      </w:r>
      <w:r>
        <w:t>Et d</w:t>
      </w:r>
      <w:r w:rsidRPr="00DA3E0D">
        <w:t xml:space="preserve">e là à considérer que </w:t>
      </w:r>
      <w:r>
        <w:t>l</w:t>
      </w:r>
      <w:r w:rsidRPr="00DA3E0D">
        <w:t xml:space="preserve">es </w:t>
      </w:r>
      <w:r>
        <w:t>taux d’hésitants</w:t>
      </w:r>
      <w:r w:rsidRPr="00DA3E0D">
        <w:t xml:space="preserve"> sont la mesure de toute chose, il n’y a qu’un pas. Heidi </w:t>
      </w:r>
      <w:proofErr w:type="spellStart"/>
      <w:r w:rsidRPr="00DA3E0D">
        <w:t>Larson</w:t>
      </w:r>
      <w:proofErr w:type="spellEnd"/>
      <w:r w:rsidRPr="00DA3E0D">
        <w:t xml:space="preserve"> ne prédisait-elle pas en 2018, dans la revue </w:t>
      </w:r>
      <w:r w:rsidRPr="00DA3E0D">
        <w:rPr>
          <w:i/>
        </w:rPr>
        <w:t>Nature</w:t>
      </w:r>
      <w:r w:rsidRPr="00DA3E0D">
        <w:t>, « que la prochaine grande épidémie – qu’il s’agisse d’une souche de grippe très létale ou de quelque chose d’autre – ne sera pas due à un ma</w:t>
      </w:r>
      <w:r>
        <w:t>n</w:t>
      </w:r>
      <w:r w:rsidRPr="00DA3E0D">
        <w:t xml:space="preserve">que de technologies de prévention. </w:t>
      </w:r>
      <w:r>
        <w:t>L</w:t>
      </w:r>
      <w:r w:rsidRPr="00DA3E0D">
        <w:t xml:space="preserve">a contagion des émotions, </w:t>
      </w:r>
      <w:r>
        <w:t>plutôt, permise</w:t>
      </w:r>
      <w:r w:rsidRPr="00DA3E0D">
        <w:t xml:space="preserve"> </w:t>
      </w:r>
      <w:r w:rsidRPr="004A4AFF">
        <w:t>par les technologies digitales</w:t>
      </w:r>
      <w:r w:rsidRPr="00DA3E0D">
        <w:t xml:space="preserve">, pourrait </w:t>
      </w:r>
      <w:r>
        <w:t>éroder</w:t>
      </w:r>
      <w:r w:rsidRPr="00DA3E0D">
        <w:t xml:space="preserve"> la confiance dans les vaccins au point de les rendre inopérants</w:t>
      </w:r>
      <w:r w:rsidRPr="00DA3E0D">
        <w:rPr>
          <w:rStyle w:val="Appelnotedebasdep"/>
          <w:rFonts w:ascii="Times New Roman" w:eastAsia="MS Mincho" w:hAnsi="Times New Roman" w:cs="Times New Roman"/>
          <w:bCs/>
          <w:sz w:val="22"/>
          <w:szCs w:val="22"/>
        </w:rPr>
        <w:footnoteReference w:id="7"/>
      </w:r>
      <w:r w:rsidRPr="00DA3E0D">
        <w:t>. » </w:t>
      </w:r>
      <w:r>
        <w:t xml:space="preserve">Ce genre de déclarations, égrenées à travers les pages de </w:t>
      </w:r>
      <w:proofErr w:type="spellStart"/>
      <w:r w:rsidRPr="00496ECB">
        <w:rPr>
          <w:i/>
        </w:rPr>
        <w:t>Stuck</w:t>
      </w:r>
      <w:proofErr w:type="spellEnd"/>
      <w:r>
        <w:t>, commence à être démenti par des travaux de sciences sociales qui soulignent la taille réduite de l’audience atteinte par les acteurs de la désinformation, en particulier lorsqu’on la compare à l’audience touchée par les sources sûres de santé publique</w:t>
      </w:r>
      <w:r>
        <w:rPr>
          <w:rStyle w:val="Appelnotedebasdep"/>
          <w:rFonts w:ascii="Times New Roman" w:eastAsia="MS Mincho" w:hAnsi="Times New Roman" w:cs="Times New Roman"/>
          <w:bCs/>
          <w:sz w:val="22"/>
          <w:szCs w:val="22"/>
        </w:rPr>
        <w:footnoteReference w:id="8"/>
      </w:r>
      <w:r>
        <w:t xml:space="preserve">. Mais le diagnostic a pris son essor politique, il s’est transformé en lieu commun et donne au passage </w:t>
      </w:r>
      <w:r w:rsidRPr="00DA3E0D">
        <w:t xml:space="preserve">l’occasion </w:t>
      </w:r>
      <w:r>
        <w:t>aux</w:t>
      </w:r>
      <w:r w:rsidRPr="00DA3E0D">
        <w:t xml:space="preserve"> spécialistes de santé publique </w:t>
      </w:r>
      <w:r>
        <w:t xml:space="preserve">de se lamenter sur cette discipline </w:t>
      </w:r>
      <w:r w:rsidRPr="00DA3E0D">
        <w:t>sous-financée, sous-valorisée, dépourvue d’argent, de prestige et de desservants, qu’on ne cesse d’oublier</w:t>
      </w:r>
      <w:r w:rsidRPr="00DA3E0D">
        <w:rPr>
          <w:vertAlign w:val="superscript"/>
        </w:rPr>
        <w:footnoteReference w:id="9"/>
      </w:r>
      <w:r w:rsidRPr="00DA3E0D">
        <w:t xml:space="preserve">. Il s’agit aussi de rétablir </w:t>
      </w:r>
      <w:r>
        <w:t xml:space="preserve">à cette occasion </w:t>
      </w:r>
      <w:r w:rsidRPr="00DA3E0D">
        <w:t>les valeurs de la science</w:t>
      </w:r>
      <w:r>
        <w:t xml:space="preserve"> et</w:t>
      </w:r>
      <w:r w:rsidRPr="00DA3E0D">
        <w:t xml:space="preserve"> de la médecine, </w:t>
      </w:r>
      <w:r>
        <w:t xml:space="preserve">voire le respect </w:t>
      </w:r>
      <w:r w:rsidRPr="00DA3E0D">
        <w:t>de la hiérarchie</w:t>
      </w:r>
      <w:r>
        <w:t xml:space="preserve"> et</w:t>
      </w:r>
      <w:r w:rsidRPr="00DA3E0D">
        <w:t xml:space="preserve"> de l’ordre.</w:t>
      </w:r>
      <w:r>
        <w:t xml:space="preserve"> </w:t>
      </w:r>
    </w:p>
    <w:p w14:paraId="2198559D" w14:textId="77777777" w:rsidR="00D15D90" w:rsidRDefault="00D15D90" w:rsidP="00377870">
      <w:pPr>
        <w:pStyle w:val="Corps"/>
      </w:pPr>
      <w:r>
        <w:t xml:space="preserve">Il n’y a donc rien d’étonnant à ce que les premières grandes critiques de la notion d’hésitation vaccinale se soient formulées </w:t>
      </w:r>
      <w:r w:rsidRPr="00FB4B5C">
        <w:t>sur un plan</w:t>
      </w:r>
      <w:r w:rsidRPr="00AE3302">
        <w:t xml:space="preserve"> politique</w:t>
      </w:r>
      <w:r w:rsidRPr="00FB4B5C">
        <w:t xml:space="preserve">, et non </w:t>
      </w:r>
      <w:r>
        <w:t xml:space="preserve">sur des questions de </w:t>
      </w:r>
      <w:r w:rsidRPr="00FB4B5C">
        <w:t>méthode</w:t>
      </w:r>
      <w:r>
        <w:t>. À</w:t>
      </w:r>
      <w:r w:rsidRPr="00AE3302">
        <w:t xml:space="preserve"> l’hiver 2020-21</w:t>
      </w:r>
      <w:r>
        <w:t xml:space="preserve">, plusieurs articles ont reproché à cette hésitation vaccinale tant ressassée de </w:t>
      </w:r>
      <w:r w:rsidRPr="00AE3302">
        <w:t>ser</w:t>
      </w:r>
      <w:r>
        <w:t>vir</w:t>
      </w:r>
      <w:r w:rsidRPr="00AE3302">
        <w:t xml:space="preserve"> d’excuse au lancement laborieux de la vaccination contre le </w:t>
      </w:r>
      <w:r>
        <w:t>C</w:t>
      </w:r>
      <w:r w:rsidRPr="00AE3302">
        <w:t>ovid-19</w:t>
      </w:r>
      <w:r>
        <w:t xml:space="preserve"> en décembre 2020. Et même de ralentir l’organisation de la campagne, en imposant des procédures jugées trop précautionneuses. En France et ailleurs, d</w:t>
      </w:r>
      <w:r w:rsidRPr="00FB4B5C">
        <w:t>es</w:t>
      </w:r>
      <w:r w:rsidRPr="00AE3302">
        <w:t xml:space="preserve"> auteurs </w:t>
      </w:r>
      <w:r>
        <w:t>expliquent</w:t>
      </w:r>
      <w:r w:rsidRPr="00AE3302">
        <w:t xml:space="preserve"> qu’il y a </w:t>
      </w:r>
      <w:r>
        <w:t xml:space="preserve">désormais </w:t>
      </w:r>
      <w:r w:rsidRPr="00AE3302">
        <w:t xml:space="preserve">moins un </w:t>
      </w:r>
      <w:r>
        <w:t>obstacle</w:t>
      </w:r>
      <w:r w:rsidRPr="00AE3302">
        <w:t xml:space="preserve"> de perception que d’accès</w:t>
      </w:r>
      <w:r>
        <w:rPr>
          <w:rStyle w:val="Appelnotedebasdep"/>
          <w:rFonts w:ascii="Times New Roman" w:eastAsia="MS Mincho" w:hAnsi="Times New Roman" w:cs="Times New Roman"/>
          <w:bCs/>
          <w:sz w:val="22"/>
          <w:szCs w:val="22"/>
        </w:rPr>
        <w:footnoteReference w:id="10"/>
      </w:r>
      <w:r w:rsidRPr="00AE3302">
        <w:t xml:space="preserve">. </w:t>
      </w:r>
      <w:r>
        <w:t>C’est là</w:t>
      </w:r>
      <w:r w:rsidRPr="00FB4B5C">
        <w:t xml:space="preserve"> </w:t>
      </w:r>
      <w:r w:rsidRPr="00AE3302">
        <w:t xml:space="preserve">toute </w:t>
      </w:r>
      <w:r>
        <w:t>l’ironie</w:t>
      </w:r>
      <w:r w:rsidRPr="00AE3302">
        <w:t xml:space="preserve"> d’un appareil statistique </w:t>
      </w:r>
      <w:r>
        <w:lastRenderedPageBreak/>
        <w:t>mesurant</w:t>
      </w:r>
      <w:r w:rsidRPr="00AE3302">
        <w:t xml:space="preserve"> l’hésitation dans un contexte d’abondance de l’offre, </w:t>
      </w:r>
      <w:r>
        <w:t>qui détermine le débat public au moment précisément où celle-ci</w:t>
      </w:r>
      <w:r w:rsidRPr="00AE3302">
        <w:t xml:space="preserve"> </w:t>
      </w:r>
      <w:r>
        <w:t>s’avère</w:t>
      </w:r>
      <w:r w:rsidRPr="00AE3302">
        <w:t xml:space="preserve"> </w:t>
      </w:r>
      <w:r>
        <w:t xml:space="preserve">insuffisante, voire </w:t>
      </w:r>
      <w:r w:rsidRPr="00AE3302">
        <w:t>inexistante.</w:t>
      </w:r>
      <w:r>
        <w:t xml:space="preserve"> </w:t>
      </w:r>
    </w:p>
    <w:p w14:paraId="6C192134" w14:textId="6271B867" w:rsidR="00D15D90" w:rsidRDefault="00D15D90" w:rsidP="00377870">
      <w:pPr>
        <w:pStyle w:val="Corps"/>
      </w:pPr>
      <w:r>
        <w:t xml:space="preserve">Pour expliquer l’importance aujourd’hui donnée à ces sondages, il nous semble nécessaire d’esquisser une histoire qui ne se contente pas de présenter un basculement de la population dans une nouvelle ère de défiance. Car les sondages répondent à une demande de l’État et des organisations internationales, qui reflète l’inquiétude des responsables sanitaires devant les menaces qui pèseraient sur la raison scientifique. Le poids pris par ces études est inséparable de la transformation du pouvoir médical et de la disparition d’un mandarinat historiquement puissant en France, qui ne doutait guère de son autorité sur le public. Par ailleurs, l’interprétation des sondages fait appel à la mesure des taux effectifs </w:t>
      </w:r>
      <w:r w:rsidRPr="00E50B5B">
        <w:t>de vaccinatio</w:t>
      </w:r>
      <w:r>
        <w:t xml:space="preserve">n. Or l’histoire récente de la statistique vaccinale </w:t>
      </w:r>
      <w:r w:rsidRPr="003A4041">
        <w:t>fait ressortir une transformation dans le rapport des experts, et finalement du public, avec les taux mesurés</w:t>
      </w:r>
      <w:r>
        <w:t>, d’une part, et</w:t>
      </w:r>
      <w:r w:rsidRPr="003A4041">
        <w:t xml:space="preserve"> les taux idéaux de couverture vaccinale</w:t>
      </w:r>
      <w:r>
        <w:t xml:space="preserve"> d’autre part</w:t>
      </w:r>
      <w:r w:rsidRPr="003A4041">
        <w:t xml:space="preserve">, c’est-à-dire de conventions épidémiologiques et politiques qui fluctuent au cours du temps. Nous formulons l’hypothèse selon laquelle la montée en précision des taux d’immunisation et la fixation d’objectifs plus ambitieux </w:t>
      </w:r>
      <w:r>
        <w:t>ont</w:t>
      </w:r>
      <w:r w:rsidRPr="003A4041">
        <w:t xml:space="preserve"> déclenché une impatience devant les délais parfois très longs, pourtant banaux dans l’histoire moderne, de l’adoption des innovations vaccinales. </w:t>
      </w:r>
    </w:p>
    <w:p w14:paraId="1B1BB86F" w14:textId="7CDE2D21" w:rsidR="00D15D90" w:rsidRPr="00B53EB5" w:rsidRDefault="00D15D90" w:rsidP="00377870">
      <w:pPr>
        <w:pStyle w:val="VDIIntertitre"/>
      </w:pPr>
      <w:r>
        <w:t>Histoire d</w:t>
      </w:r>
      <w:r w:rsidR="00377870">
        <w:t>’</w:t>
      </w:r>
      <w:r>
        <w:t>une préoccupation</w:t>
      </w:r>
    </w:p>
    <w:p w14:paraId="117F4D93" w14:textId="77777777" w:rsidR="00D15D90" w:rsidRDefault="00D15D90" w:rsidP="00377870">
      <w:pPr>
        <w:pStyle w:val="Corps"/>
      </w:pPr>
      <w:r w:rsidRPr="00C86708">
        <w:t xml:space="preserve">Avant </w:t>
      </w:r>
      <w:r>
        <w:t>de faire l’objet d’une statistique représentant</w:t>
      </w:r>
      <w:r w:rsidRPr="00C86708">
        <w:t xml:space="preserve"> la contribution des sciences sociales à la </w:t>
      </w:r>
      <w:r>
        <w:t>santé publique</w:t>
      </w:r>
      <w:r w:rsidRPr="00C86708">
        <w:t xml:space="preserve">, </w:t>
      </w:r>
      <w:r>
        <w:t xml:space="preserve">la perception de la vaccination a été depuis longtemps une préoccupation des médecins. Ces derniers ont cherché à anticiper les réactions des individus, à tenir compte de potentiels refus dès les premières étapes de conception et d’amélioration des vaccins. </w:t>
      </w:r>
      <w:r w:rsidRPr="00C86708">
        <w:t xml:space="preserve">Le verbe </w:t>
      </w:r>
      <w:r w:rsidRPr="004866AC">
        <w:rPr>
          <w:iCs/>
        </w:rPr>
        <w:t>accepter</w:t>
      </w:r>
      <w:r w:rsidRPr="00C86708">
        <w:t xml:space="preserve"> apparaît</w:t>
      </w:r>
      <w:r>
        <w:t>,</w:t>
      </w:r>
      <w:r w:rsidRPr="00C86708">
        <w:t xml:space="preserve"> par exemple</w:t>
      </w:r>
      <w:r>
        <w:t>,</w:t>
      </w:r>
      <w:r w:rsidRPr="00C86708">
        <w:t xml:space="preserve"> sous la plume de Gaston Ramon</w:t>
      </w:r>
      <w:r>
        <w:t xml:space="preserve">, </w:t>
      </w:r>
      <w:r w:rsidRPr="00C86708">
        <w:t>un pastorien</w:t>
      </w:r>
      <w:r>
        <w:t xml:space="preserve"> </w:t>
      </w:r>
      <w:r w:rsidRPr="00C86708">
        <w:t>à l’origine de l’utilisation de l’anatoxine tétanique et antidiphtérique</w:t>
      </w:r>
      <w:r>
        <w:t xml:space="preserve"> à partir de 1925</w:t>
      </w:r>
      <w:r w:rsidRPr="00C86708">
        <w:t xml:space="preserve">. </w:t>
      </w:r>
      <w:r>
        <w:t>Avec</w:t>
      </w:r>
      <w:r w:rsidRPr="00C86708">
        <w:t xml:space="preserve"> ses homologues, il </w:t>
      </w:r>
      <w:r>
        <w:t>s’inquiète,</w:t>
      </w:r>
      <w:r w:rsidRPr="00C86708">
        <w:t xml:space="preserve"> dans les années 1950</w:t>
      </w:r>
      <w:r>
        <w:t>,</w:t>
      </w:r>
      <w:r w:rsidRPr="00C86708">
        <w:t xml:space="preserve"> de la lourdeur </w:t>
      </w:r>
      <w:r>
        <w:t>liée au nombre des</w:t>
      </w:r>
      <w:r w:rsidRPr="00C86708">
        <w:t xml:space="preserve"> injections requises pour l’ensemble des vaccins disponibles. </w:t>
      </w:r>
      <w:r>
        <w:t>L</w:t>
      </w:r>
      <w:r w:rsidRPr="00C86708">
        <w:t>a diphtérie, le tétanos et la typhoïde comportaient</w:t>
      </w:r>
      <w:r>
        <w:t xml:space="preserve"> alors </w:t>
      </w:r>
      <w:r w:rsidRPr="00C86708">
        <w:t>neuf injections, sans compter les rappels. Un tel programme apparaissait, remarque</w:t>
      </w:r>
      <w:r>
        <w:t xml:space="preserve"> Ramon</w:t>
      </w:r>
      <w:r w:rsidRPr="00C86708">
        <w:t xml:space="preserve"> </w:t>
      </w:r>
      <w:r>
        <w:t>dans plusieurs textes</w:t>
      </w:r>
      <w:r w:rsidRPr="00C86708">
        <w:t xml:space="preserve">, « sinon impossible à exécuter, du moins difficile </w:t>
      </w:r>
      <w:proofErr w:type="spellStart"/>
      <w:r w:rsidRPr="00C86708">
        <w:t>a</w:t>
      </w:r>
      <w:proofErr w:type="spellEnd"/>
      <w:r w:rsidRPr="00C86708">
        <w:t xml:space="preserve">̀ </w:t>
      </w:r>
      <w:r w:rsidRPr="00C86708">
        <w:rPr>
          <w:i/>
        </w:rPr>
        <w:t>faire accepter par le public</w:t>
      </w:r>
      <w:r w:rsidRPr="00377870">
        <w:rPr>
          <w:rStyle w:val="Appelnotedebasdep"/>
          <w:rFonts w:ascii="Times New Roman" w:hAnsi="Times New Roman" w:cs="Times New Roman"/>
          <w:bCs/>
          <w:iCs/>
          <w:sz w:val="22"/>
          <w:szCs w:val="22"/>
        </w:rPr>
        <w:footnoteReference w:id="11"/>
      </w:r>
      <w:r w:rsidRPr="00C86708">
        <w:t>. »</w:t>
      </w:r>
      <w:r>
        <w:t xml:space="preserve"> Deux</w:t>
      </w:r>
      <w:r w:rsidRPr="00C86708">
        <w:t xml:space="preserve"> technologies sont développées</w:t>
      </w:r>
      <w:r>
        <w:t xml:space="preserve"> au tournant des années 1960 pour réguler ce trop-plein </w:t>
      </w:r>
      <w:r w:rsidRPr="00C86708">
        <w:t>: les vaccins combinés –</w:t>
      </w:r>
      <w:r>
        <w:t xml:space="preserve"> </w:t>
      </w:r>
      <w:r w:rsidRPr="00C86708">
        <w:t xml:space="preserve">rassemblant plusieurs valences dans une même injection – et les calendriers vaccinaux – des tableaux organisant les injections </w:t>
      </w:r>
      <w:r>
        <w:t>au cours des</w:t>
      </w:r>
      <w:r w:rsidRPr="00C86708">
        <w:t xml:space="preserve"> premiers mois de la vie.</w:t>
      </w:r>
      <w:r>
        <w:t xml:space="preserve"> En agrégeant les injections, on réduisait les désagréments, tout en augmentant le nombre </w:t>
      </w:r>
      <w:r>
        <w:lastRenderedPageBreak/>
        <w:t>de vaccins administrés. Améliorer l’acceptabilité consistait à rendre un dispositif en pleine extension le moins visible possible dans une atmosphère de tacite acceptation</w:t>
      </w:r>
      <w:r w:rsidRPr="00C86708">
        <w:rPr>
          <w:rStyle w:val="Appelnotedebasdep"/>
          <w:rFonts w:ascii="Times New Roman" w:hAnsi="Times New Roman" w:cs="Times New Roman"/>
          <w:sz w:val="22"/>
          <w:szCs w:val="22"/>
        </w:rPr>
        <w:footnoteReference w:id="12"/>
      </w:r>
      <w:r>
        <w:t>.</w:t>
      </w:r>
    </w:p>
    <w:p w14:paraId="60B017B0" w14:textId="77777777" w:rsidR="00377870" w:rsidRDefault="00D15D90" w:rsidP="00377870">
      <w:pPr>
        <w:pStyle w:val="Corps"/>
      </w:pPr>
      <w:r>
        <w:t>Au milieu des années 1950, l</w:t>
      </w:r>
      <w:r w:rsidRPr="0066453C">
        <w:t>’arrivée des vaccins contre la poliomyélite aux États-Unis</w:t>
      </w:r>
      <w:r>
        <w:t xml:space="preserve"> amène à s’enquérir d’</w:t>
      </w:r>
      <w:r w:rsidRPr="0066453C">
        <w:t xml:space="preserve">une </w:t>
      </w:r>
      <w:r>
        <w:t>traduction</w:t>
      </w:r>
      <w:r w:rsidRPr="0066453C">
        <w:t xml:space="preserve"> statistique</w:t>
      </w:r>
      <w:r>
        <w:t xml:space="preserve"> de l’acceptabilité</w:t>
      </w:r>
      <w:r w:rsidRPr="0066453C">
        <w:t xml:space="preserve">. Certes, </w:t>
      </w:r>
      <w:r>
        <w:t>jusque-là</w:t>
      </w:r>
      <w:r w:rsidRPr="0066453C">
        <w:t>, l’attente anxieuse des parents et des pouvoirs publics ne justifi</w:t>
      </w:r>
      <w:r>
        <w:t>ait</w:t>
      </w:r>
      <w:r w:rsidRPr="0066453C">
        <w:t xml:space="preserve"> pas de </w:t>
      </w:r>
      <w:r>
        <w:t xml:space="preserve">procéder à des </w:t>
      </w:r>
      <w:r w:rsidRPr="0066453C">
        <w:t>sondages d’opinion. Le virologue Frederick Robbins, prix Nobel pour ses cultures d</w:t>
      </w:r>
      <w:r>
        <w:t>e</w:t>
      </w:r>
      <w:r w:rsidRPr="0066453C">
        <w:t xml:space="preserve"> virus, raconte dans ses </w:t>
      </w:r>
      <w:r w:rsidR="00377870">
        <w:t>M</w:t>
      </w:r>
      <w:r w:rsidRPr="0066453C">
        <w:t>émoires comment les scientifiques hésita</w:t>
      </w:r>
      <w:r>
        <w:t>ient</w:t>
      </w:r>
      <w:r w:rsidRPr="0066453C">
        <w:t xml:space="preserve"> à lancer les essais cliniques de masse, tant il leur semblait que tous les essais préliminaires n’avaient pas été menés jusqu’au bout, et comment, autour de la table, leurs hésitations </w:t>
      </w:r>
      <w:r>
        <w:t>avaie</w:t>
      </w:r>
      <w:r w:rsidRPr="0066453C">
        <w:t>nt été balayées d’un revers de main par le politique impatient de répondre à l’attente des administrés</w:t>
      </w:r>
      <w:r w:rsidRPr="0066453C">
        <w:rPr>
          <w:rStyle w:val="Appelnotedebasdep"/>
          <w:rFonts w:ascii="Times New Roman" w:hAnsi="Times New Roman" w:cs="Times New Roman"/>
          <w:bCs/>
          <w:sz w:val="22"/>
          <w:szCs w:val="22"/>
        </w:rPr>
        <w:footnoteReference w:id="13"/>
      </w:r>
      <w:r w:rsidRPr="0066453C">
        <w:t xml:space="preserve">. </w:t>
      </w:r>
    </w:p>
    <w:p w14:paraId="5BCFAC4F" w14:textId="169EAF19" w:rsidR="00D15D90" w:rsidRDefault="00D15D90" w:rsidP="00377870">
      <w:pPr>
        <w:pStyle w:val="Corps"/>
      </w:pPr>
      <w:r w:rsidRPr="0066453C">
        <w:t>Mais l’accident</w:t>
      </w:r>
      <w:r>
        <w:t xml:space="preserve"> de la firme</w:t>
      </w:r>
      <w:r w:rsidRPr="0066453C">
        <w:t xml:space="preserve"> californien</w:t>
      </w:r>
      <w:r>
        <w:t>ne</w:t>
      </w:r>
      <w:r w:rsidRPr="0066453C" w:rsidDel="005E1F50">
        <w:t xml:space="preserve"> </w:t>
      </w:r>
      <w:r w:rsidRPr="0066453C">
        <w:t>Cutter</w:t>
      </w:r>
      <w:r>
        <w:t>, le célèbre « </w:t>
      </w:r>
      <w:r w:rsidRPr="00CC63C3">
        <w:rPr>
          <w:i/>
          <w:iCs/>
        </w:rPr>
        <w:t>Cutter incident</w:t>
      </w:r>
      <w:r>
        <w:rPr>
          <w:i/>
          <w:iCs/>
        </w:rPr>
        <w:t> »</w:t>
      </w:r>
      <w:r>
        <w:t>,</w:t>
      </w:r>
      <w:r w:rsidRPr="00913C77">
        <w:t xml:space="preserve"> </w:t>
      </w:r>
      <w:r w:rsidRPr="0066453C">
        <w:t xml:space="preserve">qui survient en 1955, </w:t>
      </w:r>
      <w:r>
        <w:t>bouleverse la population</w:t>
      </w:r>
      <w:r w:rsidRPr="0066453C">
        <w:t xml:space="preserve">. L’évènement révèle la précipitation avec laquelle la production en masse avait été lancée et confiée à plusieurs petits producteurs. Il semble en fait, </w:t>
      </w:r>
      <w:r>
        <w:t>rétrospectivement</w:t>
      </w:r>
      <w:r w:rsidRPr="0066453C">
        <w:t>, que tous les concurrents montraient de graves défauts dans leur protocole d’inactivation, mais que Cutter</w:t>
      </w:r>
      <w:r>
        <w:t>,</w:t>
      </w:r>
      <w:r w:rsidRPr="0066453C">
        <w:t xml:space="preserve"> pour son malheur et celui des enfants vaccinés, les cumulait tous : d’où la centaine de décès qui marqua l’année 1955</w:t>
      </w:r>
      <w:r>
        <w:rPr>
          <w:rStyle w:val="Appelnotedebasdep"/>
          <w:rFonts w:ascii="Times New Roman" w:hAnsi="Times New Roman" w:cs="Times New Roman"/>
          <w:bCs/>
          <w:sz w:val="22"/>
          <w:szCs w:val="22"/>
        </w:rPr>
        <w:footnoteReference w:id="14"/>
      </w:r>
      <w:r w:rsidRPr="0066453C">
        <w:t xml:space="preserve">. L’année suivante, la National </w:t>
      </w:r>
      <w:proofErr w:type="spellStart"/>
      <w:r w:rsidRPr="0066453C">
        <w:t>Foundation</w:t>
      </w:r>
      <w:proofErr w:type="spellEnd"/>
      <w:r w:rsidRPr="0066453C">
        <w:t xml:space="preserve"> for Infantile </w:t>
      </w:r>
      <w:proofErr w:type="spellStart"/>
      <w:r w:rsidRPr="0066453C">
        <w:t>Paralysis</w:t>
      </w:r>
      <w:proofErr w:type="spellEnd"/>
      <w:r w:rsidRPr="0066453C">
        <w:t>, qui a</w:t>
      </w:r>
      <w:r>
        <w:t>vait</w:t>
      </w:r>
      <w:r w:rsidRPr="0066453C">
        <w:t xml:space="preserve"> financé le développement du vaccin, f</w:t>
      </w:r>
      <w:r>
        <w:t>a</w:t>
      </w:r>
      <w:r w:rsidRPr="0066453C">
        <w:t xml:space="preserve">it appel à des experts de l’opinion pour améliorer </w:t>
      </w:r>
      <w:r>
        <w:t xml:space="preserve">le déroulement de </w:t>
      </w:r>
      <w:r w:rsidRPr="0066453C">
        <w:t xml:space="preserve">ses campagnes. </w:t>
      </w:r>
      <w:r>
        <w:t>Elle</w:t>
      </w:r>
      <w:r w:rsidRPr="0066453C">
        <w:t xml:space="preserve"> embauche des membres de l’American Institu</w:t>
      </w:r>
      <w:r>
        <w:t>t</w:t>
      </w:r>
      <w:r w:rsidRPr="0066453C">
        <w:t xml:space="preserve">e for Public Opinion de George Gallup et de Columbia </w:t>
      </w:r>
      <w:proofErr w:type="spellStart"/>
      <w:r w:rsidRPr="0066453C">
        <w:t>University</w:t>
      </w:r>
      <w:proofErr w:type="spellEnd"/>
      <w:r>
        <w:t>, qui mettent sur pied des sondages</w:t>
      </w:r>
      <w:r w:rsidRPr="0066453C">
        <w:t>. Les données rassemblées</w:t>
      </w:r>
      <w:r>
        <w:t>, les premières de ce genre à notre connaissance,</w:t>
      </w:r>
      <w:r w:rsidRPr="0066453C">
        <w:t xml:space="preserve"> </w:t>
      </w:r>
      <w:r>
        <w:t xml:space="preserve">vont </w:t>
      </w:r>
      <w:r w:rsidRPr="0066453C">
        <w:t>alimente</w:t>
      </w:r>
      <w:r>
        <w:t>r</w:t>
      </w:r>
      <w:r w:rsidRPr="0066453C">
        <w:t xml:space="preserve"> la production d’articles scientifiques pendant une </w:t>
      </w:r>
      <w:r>
        <w:t>décennie. Ils</w:t>
      </w:r>
      <w:r w:rsidRPr="0066453C">
        <w:t xml:space="preserve"> mettent en évidence l’importance de l</w:t>
      </w:r>
      <w:r>
        <w:t>’appartenance à</w:t>
      </w:r>
      <w:r w:rsidRPr="0066453C">
        <w:t xml:space="preserve"> </w:t>
      </w:r>
      <w:r>
        <w:t xml:space="preserve">une </w:t>
      </w:r>
      <w:r w:rsidRPr="0066453C">
        <w:t>classe</w:t>
      </w:r>
      <w:r>
        <w:t xml:space="preserve"> sociale</w:t>
      </w:r>
      <w:r w:rsidRPr="0066453C">
        <w:t xml:space="preserve"> dans la perception des vaccins.</w:t>
      </w:r>
      <w:r w:rsidRPr="00BC5B80">
        <w:t xml:space="preserve"> </w:t>
      </w:r>
    </w:p>
    <w:p w14:paraId="49123D79" w14:textId="04AAA161" w:rsidR="00D15D90" w:rsidRDefault="00D15D90" w:rsidP="00377870">
      <w:pPr>
        <w:pStyle w:val="Corps"/>
      </w:pPr>
      <w:r>
        <w:t>En France, d</w:t>
      </w:r>
      <w:r w:rsidRPr="00BF556F">
        <w:t>es sondages d</w:t>
      </w:r>
      <w:proofErr w:type="gramStart"/>
      <w:r w:rsidRPr="00BF556F">
        <w:t>’«</w:t>
      </w:r>
      <w:proofErr w:type="gramEnd"/>
      <w:r w:rsidRPr="00BF556F">
        <w:t xml:space="preserve"> acceptation » apparaissent au début des années 1960. Ils sont effectués par une équipe du Centre international de l’enfance (CIE, 1949-1999)</w:t>
      </w:r>
      <w:r>
        <w:t>. L</w:t>
      </w:r>
      <w:r w:rsidRPr="00BF556F">
        <w:t>’institution</w:t>
      </w:r>
      <w:r>
        <w:t>,</w:t>
      </w:r>
      <w:r w:rsidRPr="00BF556F">
        <w:t xml:space="preserve"> créée par Robert Debré au lendemain de la </w:t>
      </w:r>
      <w:r>
        <w:t>Deuxième G</w:t>
      </w:r>
      <w:r w:rsidRPr="00BF556F">
        <w:t xml:space="preserve">uerre </w:t>
      </w:r>
      <w:r>
        <w:t xml:space="preserve">mondiale, </w:t>
      </w:r>
      <w:r w:rsidRPr="00BF556F">
        <w:t>ambitionne</w:t>
      </w:r>
      <w:r>
        <w:t xml:space="preserve"> à l’origine</w:t>
      </w:r>
      <w:r w:rsidRPr="00BF556F">
        <w:t xml:space="preserve"> d’exporter la pédiatrie française </w:t>
      </w:r>
      <w:r>
        <w:t>en Afrique</w:t>
      </w:r>
      <w:r w:rsidRPr="00BF556F">
        <w:t xml:space="preserve">. </w:t>
      </w:r>
      <w:r>
        <w:t>Le CIE</w:t>
      </w:r>
      <w:r w:rsidRPr="00BF556F">
        <w:t xml:space="preserve"> devient </w:t>
      </w:r>
      <w:r>
        <w:t>en même temps</w:t>
      </w:r>
      <w:r w:rsidRPr="00BF556F">
        <w:t xml:space="preserve"> le centre de référence pour l</w:t>
      </w:r>
      <w:r>
        <w:t xml:space="preserve">’épidémiologie des vaccins </w:t>
      </w:r>
      <w:r w:rsidRPr="00BF556F">
        <w:t xml:space="preserve">en métropole, cherchant à rattraper le retard </w:t>
      </w:r>
      <w:r>
        <w:t xml:space="preserve">national </w:t>
      </w:r>
      <w:r w:rsidRPr="00BF556F">
        <w:t>en matière d’évaluation statistiqu</w:t>
      </w:r>
      <w:r>
        <w:t>e, tant brocardé par les Britanniques dans l’entre-deux-guerres</w:t>
      </w:r>
      <w:r w:rsidRPr="00BF556F">
        <w:t xml:space="preserve">. </w:t>
      </w:r>
      <w:r>
        <w:t xml:space="preserve">Or, l’efficacité du vaccin contre la tuberculose, le BCG, reste contestée par des scientifiques étrangers – </w:t>
      </w:r>
      <w:r w:rsidRPr="00F21B81">
        <w:t>le souvenir de la catastrophe de L</w:t>
      </w:r>
      <w:r>
        <w:t>ü</w:t>
      </w:r>
      <w:r w:rsidRPr="00F21B81">
        <w:t>beck plane</w:t>
      </w:r>
      <w:r>
        <w:t>,</w:t>
      </w:r>
      <w:r w:rsidRPr="00F21B81">
        <w:t xml:space="preserve"> </w:t>
      </w:r>
      <w:r>
        <w:t xml:space="preserve">qui </w:t>
      </w:r>
      <w:r w:rsidRPr="00F21B81">
        <w:t>a durablement partagé le monde en deux</w:t>
      </w:r>
      <w:r>
        <w:t> : le BCG a rencontré</w:t>
      </w:r>
      <w:r w:rsidRPr="00F21B81">
        <w:t xml:space="preserve"> une fin de non-recevoir définitive aux </w:t>
      </w:r>
      <w:r>
        <w:t xml:space="preserve">États-Unis. Les Français eux-mêmes ne se sont pas précipités, malgré une obligation légale votée en 1950 s’appliquant à tous les enfants. Le CIE se charge donc, au début des années 1960, de mener </w:t>
      </w:r>
      <w:r w:rsidRPr="008E5466">
        <w:t xml:space="preserve">une série d’enquêtes sur la perception de la vaccination en général </w:t>
      </w:r>
      <w:r>
        <w:t>– reconnue</w:t>
      </w:r>
      <w:r w:rsidRPr="008E5466">
        <w:t xml:space="preserve"> </w:t>
      </w:r>
      <w:r w:rsidRPr="008E5466">
        <w:lastRenderedPageBreak/>
        <w:t>excellente - et du BCG en particulier – moins bonne</w:t>
      </w:r>
      <w:r>
        <w:rPr>
          <w:rStyle w:val="Appelnotedebasdep"/>
          <w:rFonts w:ascii="Times New Roman" w:hAnsi="Times New Roman" w:cs="Times New Roman"/>
          <w:bCs/>
          <w:sz w:val="22"/>
          <w:szCs w:val="22"/>
        </w:rPr>
        <w:footnoteReference w:id="15"/>
      </w:r>
      <w:r w:rsidRPr="008E5466">
        <w:t>. L’enquêtrice</w:t>
      </w:r>
      <w:r>
        <w:t xml:space="preserve"> </w:t>
      </w:r>
      <w:r w:rsidRPr="008E5466">
        <w:t xml:space="preserve">mêle les genres, </w:t>
      </w:r>
      <w:r>
        <w:t xml:space="preserve">elle </w:t>
      </w:r>
      <w:r w:rsidRPr="008E5466">
        <w:t>se félicit</w:t>
      </w:r>
      <w:r>
        <w:t>e</w:t>
      </w:r>
      <w:r w:rsidRPr="008E5466">
        <w:t xml:space="preserve"> d’avoir convaincu </w:t>
      </w:r>
      <w:r>
        <w:t>les parents </w:t>
      </w:r>
      <w:r w:rsidRPr="008E5466">
        <w:t>d</w:t>
      </w:r>
      <w:r>
        <w:t>’avoir fait vacciner leurs</w:t>
      </w:r>
      <w:r w:rsidRPr="008E5466">
        <w:t xml:space="preserve"> enfants, tout en se pliant aux exigences statistiques de randomisation des enquêtés. S’affirme</w:t>
      </w:r>
      <w:r>
        <w:t xml:space="preserve"> </w:t>
      </w:r>
      <w:r w:rsidRPr="008E5466">
        <w:t xml:space="preserve">l’idée, toujours présente aujourd’hui mais </w:t>
      </w:r>
      <w:r w:rsidR="00861F45">
        <w:t>critiquée</w:t>
      </w:r>
      <w:r>
        <w:t>,</w:t>
      </w:r>
      <w:r w:rsidRPr="008E5466">
        <w:t xml:space="preserve"> qu</w:t>
      </w:r>
      <w:proofErr w:type="gramStart"/>
      <w:r w:rsidRPr="008E5466">
        <w:t>’</w:t>
      </w:r>
      <w:r>
        <w:t>«</w:t>
      </w:r>
      <w:proofErr w:type="gramEnd"/>
      <w:r>
        <w:t> </w:t>
      </w:r>
      <w:r w:rsidRPr="008E5466">
        <w:t>une bonne connaissance</w:t>
      </w:r>
      <w:r>
        <w:t> »</w:t>
      </w:r>
      <w:r w:rsidRPr="008E5466">
        <w:t xml:space="preserve"> de la vaccination augmente les chances de l’accepter.</w:t>
      </w:r>
    </w:p>
    <w:p w14:paraId="5BCD1E93" w14:textId="77777777" w:rsidR="00D15D90" w:rsidRDefault="00D15D90" w:rsidP="00D76AAC">
      <w:pPr>
        <w:pStyle w:val="Corps"/>
      </w:pPr>
      <w:r>
        <w:t xml:space="preserve">Aucun travail ne fait véritablement date sur la perception de la vaccination, tous vaccins confondus, jusqu’au rapport de la sociologue du CNRS Claudine </w:t>
      </w:r>
      <w:proofErr w:type="spellStart"/>
      <w:r>
        <w:t>Marenco</w:t>
      </w:r>
      <w:proofErr w:type="spellEnd"/>
      <w:r>
        <w:t xml:space="preserve">. Son mémoire imprimé en 1980, </w:t>
      </w:r>
      <w:r w:rsidRPr="00F21B81">
        <w:t xml:space="preserve">longtemps connu </w:t>
      </w:r>
      <w:r>
        <w:t xml:space="preserve">seulement </w:t>
      </w:r>
      <w:r w:rsidRPr="00F21B81">
        <w:t>de bouche à oreille</w:t>
      </w:r>
      <w:r>
        <w:t>, sera prolongé par une enquête commanditée par le CIE et publiée en 1986</w:t>
      </w:r>
      <w:r>
        <w:rPr>
          <w:rStyle w:val="Appelnotedebasdep"/>
          <w:rFonts w:ascii="Times New Roman" w:hAnsi="Times New Roman" w:cs="Times New Roman"/>
          <w:bCs/>
          <w:sz w:val="22"/>
          <w:szCs w:val="22"/>
        </w:rPr>
        <w:footnoteReference w:id="16"/>
      </w:r>
      <w:r>
        <w:t xml:space="preserve">. Les textes de Claudine </w:t>
      </w:r>
      <w:proofErr w:type="spellStart"/>
      <w:r>
        <w:t>Marenco</w:t>
      </w:r>
      <w:proofErr w:type="spellEnd"/>
      <w:r>
        <w:t xml:space="preserve"> ne citent pas les travaux américains sur l’accueil du vaccin antipolio. </w:t>
      </w:r>
      <w:proofErr w:type="spellStart"/>
      <w:r>
        <w:t>Marenco</w:t>
      </w:r>
      <w:proofErr w:type="spellEnd"/>
      <w:r>
        <w:t xml:space="preserve"> n’essaie pas de se revendiquer de la sociologie de la santé. Pourtant, ses analyses sur le caractère longtemps « </w:t>
      </w:r>
      <w:proofErr w:type="spellStart"/>
      <w:r>
        <w:t>inquestionnable</w:t>
      </w:r>
      <w:proofErr w:type="spellEnd"/>
      <w:r>
        <w:t xml:space="preserve"> de l’institution » de la vaccination, </w:t>
      </w:r>
      <w:r w:rsidRPr="00044F5A">
        <w:t>« une affaire de r</w:t>
      </w:r>
      <w:r>
        <w:t>ègle</w:t>
      </w:r>
      <w:r w:rsidRPr="00044F5A">
        <w:t xml:space="preserve"> et de foi »</w:t>
      </w:r>
      <w:r>
        <w:t>, ont marqué sa génération. Dans l’enquête réalisée pour le CIE,</w:t>
      </w:r>
      <w:r w:rsidRPr="009A5382">
        <w:t xml:space="preserve"> </w:t>
      </w:r>
      <w:r>
        <w:t xml:space="preserve">qui repose sur des entretiens semi-directifs menés auprès de quatre catégories d’individus en Île-de-France (mères de familles, médecins, pharmaciens et directeurs d’école), </w:t>
      </w:r>
      <w:proofErr w:type="spellStart"/>
      <w:r>
        <w:t>Marenco</w:t>
      </w:r>
      <w:proofErr w:type="spellEnd"/>
      <w:r>
        <w:t xml:space="preserve"> confirme l’image très positive de la vaccination. Elle remarque toutefois que les mères interrogées sont moins enclines qu’elles ne l’étaient, cinq ans plus tôt, à suivre l’avis de leur médecin. S’amorce un effritement de l’autorité médicale, dont les praticiens, explique-t-elle, paraissent ne pas avoir conscience</w:t>
      </w:r>
      <w:r w:rsidRPr="00B6722D">
        <w:t>.</w:t>
      </w:r>
    </w:p>
    <w:p w14:paraId="671AE283" w14:textId="77777777" w:rsidR="00D15D90" w:rsidRPr="000F190F" w:rsidRDefault="00D15D90" w:rsidP="00D76AAC">
      <w:pPr>
        <w:pStyle w:val="VDIIntertitre"/>
      </w:pPr>
      <w:r>
        <w:t>La menace des anti-vaccins</w:t>
      </w:r>
    </w:p>
    <w:p w14:paraId="0D70B820" w14:textId="01630D40" w:rsidR="00D15D90" w:rsidRDefault="00D15D90" w:rsidP="00D76AAC">
      <w:pPr>
        <w:pStyle w:val="Corps"/>
      </w:pPr>
      <w:r>
        <w:t xml:space="preserve">L’activité des anti-vaccins n’est alors pas jugée suffisamment significative pour justifier de s’y attarder. Pourtant, au tournant des années 1980, les responsables sanitaires manquent rarement, quand ils s’adressent à l’opinion publique, de dramatiser </w:t>
      </w:r>
      <w:r w:rsidRPr="0066761C">
        <w:t xml:space="preserve">la menace représentée par </w:t>
      </w:r>
      <w:r>
        <w:t>l</w:t>
      </w:r>
      <w:r w:rsidRPr="0066761C">
        <w:t xml:space="preserve">es militants. </w:t>
      </w:r>
      <w:r>
        <w:t>L</w:t>
      </w:r>
      <w:r w:rsidRPr="0066761C">
        <w:t>’hyperbole</w:t>
      </w:r>
      <w:r>
        <w:t xml:space="preserve"> est leur figure de prédilection</w:t>
      </w:r>
      <w:r w:rsidRPr="0066761C">
        <w:t>, manifeste dans le recours au pluriel menaçant et nébuleux « des ligues anti-vaccinales »</w:t>
      </w:r>
      <w:r>
        <w:t xml:space="preserve">. Expression pour le moins éloignée de la réalité : jusqu’à </w:t>
      </w:r>
      <w:r w:rsidRPr="0066761C">
        <w:t xml:space="preserve">la crise de la vaccination contre l’hépatite B </w:t>
      </w:r>
      <w:r>
        <w:t>au milieu des</w:t>
      </w:r>
      <w:r w:rsidRPr="0066761C">
        <w:t xml:space="preserve"> années 1990</w:t>
      </w:r>
      <w:r>
        <w:t>, on ne recense en France</w:t>
      </w:r>
      <w:r w:rsidRPr="0066761C">
        <w:t xml:space="preserve"> qu’un seul groupe organisé possédant </w:t>
      </w:r>
      <w:r>
        <w:t xml:space="preserve">une </w:t>
      </w:r>
      <w:r w:rsidRPr="0066761C">
        <w:t>visibilité, la Ligue nationale pour la liberté des vaccinations, fondée en 1954. Fernand Delarue, son président, dénonce</w:t>
      </w:r>
      <w:r>
        <w:t xml:space="preserve"> lui-même</w:t>
      </w:r>
      <w:r w:rsidRPr="0066761C">
        <w:t xml:space="preserve"> le procédé </w:t>
      </w:r>
      <w:r>
        <w:t xml:space="preserve">d’exagération </w:t>
      </w:r>
      <w:r w:rsidRPr="0066761C">
        <w:t>lors d’une conférence de presse</w:t>
      </w:r>
      <w:r>
        <w:t xml:space="preserve"> </w:t>
      </w:r>
      <w:r w:rsidRPr="0066761C">
        <w:t>en 1977 : « Remarquons une fois de plus qu’il n’existe qu’une seule ligue s’occupant du problème des vaccinations, la nôtre</w:t>
      </w:r>
      <w:r>
        <w:rPr>
          <w:rStyle w:val="Appelnotedebasdep"/>
          <w:rFonts w:ascii="Times New Roman" w:hAnsi="Times New Roman" w:cs="Times New Roman"/>
          <w:bCs/>
          <w:sz w:val="22"/>
          <w:szCs w:val="22"/>
        </w:rPr>
        <w:footnoteReference w:id="17"/>
      </w:r>
      <w:r w:rsidRPr="0066761C">
        <w:t>. » L’hyperbole s’accompagn</w:t>
      </w:r>
      <w:r>
        <w:t>e</w:t>
      </w:r>
      <w:r w:rsidRPr="0066761C">
        <w:t xml:space="preserve"> d’une ignorance de la part de l’État et des savants, puisque la </w:t>
      </w:r>
      <w:r w:rsidRPr="0066761C">
        <w:lastRenderedPageBreak/>
        <w:t xml:space="preserve">littérature de sciences sociales sur la Ligue est quasi inexistante et les archives, celles du ministère de la santé ou d’institutions </w:t>
      </w:r>
      <w:r>
        <w:t>consacrées</w:t>
      </w:r>
      <w:r w:rsidRPr="0066761C">
        <w:t xml:space="preserve"> à la vaccination, contiennent au mieux quelques numéros du journal de l’association. </w:t>
      </w:r>
    </w:p>
    <w:p w14:paraId="385452C1" w14:textId="77777777" w:rsidR="00D15D90" w:rsidRDefault="00D15D90" w:rsidP="00D76AAC">
      <w:pPr>
        <w:pStyle w:val="Corps"/>
      </w:pPr>
      <w:r>
        <w:t xml:space="preserve">En dehors des travaux de Claudine </w:t>
      </w:r>
      <w:proofErr w:type="spellStart"/>
      <w:r>
        <w:t>Marenco</w:t>
      </w:r>
      <w:proofErr w:type="spellEnd"/>
      <w:r>
        <w:t>, plusieurs sondages et enquêtes, dont certains réalisés par l’</w:t>
      </w:r>
      <w:r w:rsidRPr="006D689A">
        <w:t>Institut français d'opinion publique</w:t>
      </w:r>
      <w:r>
        <w:t>, sont menés au milieu des années 1980. Cet intérêt soudain porté à l’opinion s’inscrit dans un</w:t>
      </w:r>
      <w:r w:rsidRPr="00C66FC0">
        <w:t xml:space="preserve"> contexte de recours croissant aux sondages</w:t>
      </w:r>
      <w:r>
        <w:t>, y compris sur les questions de santé</w:t>
      </w:r>
      <w:r w:rsidRPr="00C66FC0">
        <w:t>.</w:t>
      </w:r>
      <w:r>
        <w:t xml:space="preserve"> Il reflète aussi un changement de doctrine s’agissant de l’obligation légale, jugée désormais contre-productive par les autorités sanitaires. S’il n’existe pas de projet de défaire les lois existantes – à l’exception, bien sûr, de la loi de 1902, dont le volet consacré à la variole est rendu inutile par l’éradication de la maladie – les autorités françaises confirment que les nouveaux vaccins échapperont à l’obligation, au motif que la contrainte légale affaiblirait leur acceptabilité. L’acceptabilité</w:t>
      </w:r>
      <w:r w:rsidRPr="008A4C73">
        <w:t xml:space="preserve"> </w:t>
      </w:r>
      <w:r>
        <w:t>se transforme alors en argument contre</w:t>
      </w:r>
      <w:r w:rsidRPr="008A4C73">
        <w:t xml:space="preserve"> l’obligation</w:t>
      </w:r>
      <w:r>
        <w:t>. En outre, à partir du</w:t>
      </w:r>
      <w:r w:rsidRPr="00E87B40">
        <w:t xml:space="preserve"> moment où les individus obt</w:t>
      </w:r>
      <w:r>
        <w:t>iennen</w:t>
      </w:r>
      <w:r w:rsidRPr="00E87B40">
        <w:t>t le droi</w:t>
      </w:r>
      <w:r>
        <w:t xml:space="preserve">t, </w:t>
      </w:r>
      <w:r w:rsidRPr="00E87B40">
        <w:t>implicite dans la notion de recommandation</w:t>
      </w:r>
      <w:r>
        <w:t>,</w:t>
      </w:r>
      <w:r w:rsidRPr="00E87B40">
        <w:t xml:space="preserve"> de ne pas recourir</w:t>
      </w:r>
      <w:r>
        <w:t xml:space="preserve"> à certains vaccins, il paraît important d’enquêter sur ce qui se passe dans leur tête. Cet argument d’une contrainte légale qui serait nuisible à l’acceptabilité et à l’acceptation a prévalu près de trente ans, puisqu’aucune obligation vaccinale visant la population générale n’a été votée jusqu’en 2018. </w:t>
      </w:r>
    </w:p>
    <w:p w14:paraId="15F7999F" w14:textId="40DBB260" w:rsidR="00D15D90" w:rsidRDefault="00D15D90" w:rsidP="00D76AAC">
      <w:pPr>
        <w:pStyle w:val="Corps"/>
      </w:pPr>
      <w:r>
        <w:t>Au début des années 1980, les discussions sur la mesure de l’acceptabilité font toucher du doigt l’absence de données fiables sur la couverture vaccinale. Le CIE recourt alors à un mode de calcul utilisé par l’OMS,</w:t>
      </w:r>
      <w:r w:rsidRPr="00CF6F77">
        <w:t xml:space="preserve"> </w:t>
      </w:r>
      <w:r>
        <w:t xml:space="preserve">qu’il entreprend de diffuser en France. Les « sondages par grappes » ont été conçus pour des pays du Sud dépourvus de bureaucratie sanitaire. Ils permettent en effet de produire rapidement des données à partir de petites enquêtes dont la robustesse statistique est </w:t>
      </w:r>
      <w:r w:rsidR="00861F45">
        <w:t>mise en doute</w:t>
      </w:r>
      <w:r w:rsidRPr="00B02FD7">
        <w:t xml:space="preserve">. </w:t>
      </w:r>
      <w:r>
        <w:t>L’enquêteur doit aller de maison en maison dans le même quartier, jusqu’à atteindre le nombre désiré d’enfants. L</w:t>
      </w:r>
      <w:r w:rsidRPr="00B02FD7">
        <w:t xml:space="preserve">e </w:t>
      </w:r>
      <w:r>
        <w:t>tirage au sort</w:t>
      </w:r>
      <w:r w:rsidRPr="00B02FD7">
        <w:t xml:space="preserve">, </w:t>
      </w:r>
      <w:r>
        <w:t>qui inspire toute la méthodologie statistique pour constituer les échantillons</w:t>
      </w:r>
      <w:r w:rsidRPr="00B02FD7">
        <w:t>,</w:t>
      </w:r>
      <w:r>
        <w:t xml:space="preserve"> est ici contredit par le choix de la proximité géographique, commode sur le terrain. En 1981, le CIE estime la couverture vaccinale en Ille-et-Vilaine, un département parmi d’autres choisi sans justification, à 91% pour le BCG, 74</w:t>
      </w:r>
      <w:r w:rsidR="00D76AAC">
        <w:t> </w:t>
      </w:r>
      <w:r>
        <w:t xml:space="preserve">% pour les rappels de diphtérie-tétanos et de poliomyélite, et </w:t>
      </w:r>
      <w:r w:rsidRPr="00914E5B">
        <w:rPr>
          <w:i/>
        </w:rPr>
        <w:t>14% pour la rougeole</w:t>
      </w:r>
      <w:r>
        <w:rPr>
          <w:rStyle w:val="Appelnotedebasdep"/>
          <w:rFonts w:ascii="Times New Roman" w:hAnsi="Times New Roman" w:cs="Times New Roman"/>
          <w:bCs/>
          <w:sz w:val="22"/>
          <w:szCs w:val="22"/>
        </w:rPr>
        <w:footnoteReference w:id="18"/>
      </w:r>
      <w:r>
        <w:t>. Ses fonctions de centre national de référence l’obligent en théorie à produire des données nationales, mais l’institution, tournée vers les pays du Sud et les essais cliniques, ne dispose pas pour cela de l’infrastructure nécessaire – ni le ministère de la santé, d’ailleurs. Dans les années 1990, au moment de la création de nouvelles bureaucraties sanitaires, les grands chiffres sur la vaccination manquent encore en France. Des taux sont bricolés à partir des chiffres de vente des industriels ou d’enquêtes ponctuelles. On discute, remarque une responsable du CIE, d</w:t>
      </w:r>
      <w:proofErr w:type="gramStart"/>
      <w:r>
        <w:t>’«</w:t>
      </w:r>
      <w:proofErr w:type="gramEnd"/>
      <w:r>
        <w:t> </w:t>
      </w:r>
      <w:r w:rsidRPr="00256341">
        <w:t>une couverture dont on n'avait pas idée et dont chacun disait "je pense ça"</w:t>
      </w:r>
      <w:r>
        <w:t xml:space="preserve"> ». </w:t>
      </w:r>
    </w:p>
    <w:p w14:paraId="56CD24A1" w14:textId="384EF6FE" w:rsidR="00D15D90" w:rsidRDefault="00D15D90" w:rsidP="00D76AAC">
      <w:pPr>
        <w:pStyle w:val="Corps"/>
      </w:pPr>
      <w:r>
        <w:t xml:space="preserve">Mais l’OMS pousse à améliorer les mesures pour atteindre des objectifs plus ambitieux. Dans le cadre du Programme Élargi des Vaccinations lancé en 1974, portant sur six vaccinations </w:t>
      </w:r>
      <w:r>
        <w:lastRenderedPageBreak/>
        <w:t>pédiatriques, l’agence onusienne fixe des taux idéaux</w:t>
      </w:r>
      <w:r w:rsidRPr="00914E5B">
        <w:t xml:space="preserve"> </w:t>
      </w:r>
      <w:r>
        <w:t>à atteindre. Dans les pays du Sud, la vaccination universelle se définit par un taux de 80</w:t>
      </w:r>
      <w:r w:rsidR="00D76AAC">
        <w:t> </w:t>
      </w:r>
      <w:r>
        <w:t xml:space="preserve">% d’enfants vaccinés contre chaque maladie – une convention discutable d’un point de vue épidémiologique, qui permettra néanmoins de déclarer victoire au tournant des années 1990. Mais le bureau européen de l’OMS propose à ses membres des taux idéaux plus précis et plus ambitieux. En 1984, une conférence organisée à </w:t>
      </w:r>
      <w:proofErr w:type="spellStart"/>
      <w:r>
        <w:t>Karlovy</w:t>
      </w:r>
      <w:proofErr w:type="spellEnd"/>
      <w:r>
        <w:t xml:space="preserve"> </w:t>
      </w:r>
      <w:proofErr w:type="spellStart"/>
      <w:r>
        <w:t>Vary</w:t>
      </w:r>
      <w:proofErr w:type="spellEnd"/>
      <w:r>
        <w:t>, en Tchécoslovaquie, demande aux pays européens de s’engager à vacciner 95</w:t>
      </w:r>
      <w:r w:rsidR="00D76AAC">
        <w:t> </w:t>
      </w:r>
      <w:r>
        <w:t>% des enfants de moins de deux ans</w:t>
      </w:r>
      <w:r w:rsidRPr="00980E2E">
        <w:t xml:space="preserve"> </w:t>
      </w:r>
      <w:r>
        <w:t>contre la rougeole d’ici 1990, très loin des taux approximatifs français. La France</w:t>
      </w:r>
      <w:r w:rsidRPr="00E135CA">
        <w:t xml:space="preserve"> approuv</w:t>
      </w:r>
      <w:r>
        <w:t>e</w:t>
      </w:r>
      <w:r w:rsidRPr="00E135CA">
        <w:t xml:space="preserve"> </w:t>
      </w:r>
      <w:r>
        <w:t xml:space="preserve">ces objectifs qui se transforment en étalon de l’action publique et s’imposent au tout nouveau Comité technique des vaccinations, l’instance chargée de conseiller le ministère et d’établir le calendrier. </w:t>
      </w:r>
    </w:p>
    <w:p w14:paraId="1703135A" w14:textId="77777777" w:rsidR="00D15D90" w:rsidRPr="000F190F" w:rsidRDefault="00D15D90" w:rsidP="00D76AAC">
      <w:pPr>
        <w:pStyle w:val="VDIIntertitre"/>
      </w:pPr>
      <w:r w:rsidRPr="000F190F">
        <w:t>La vaccination comme problème politique</w:t>
      </w:r>
    </w:p>
    <w:p w14:paraId="6C0A1585" w14:textId="2AE1ED07" w:rsidR="00D15D90" w:rsidRDefault="00D15D90" w:rsidP="00D76AAC">
      <w:pPr>
        <w:pStyle w:val="Corps"/>
      </w:pPr>
      <w:r>
        <w:t>De nouvelles exigences de précision statistique interviennent donc dans les années 1980 mais ne se traduiront par des améliorations dans les mesures qu’au cours de la décennie suivante. Les écarts apparus entre les couvertures vaccinales réelles et les taux idéaux, qui n’étaient pas discutés autrefois, étant donné l’absence conjointe de mesures précises et d’objectifs clairs, vont rendre possible l’expression d’un problème politique de la vaccination. Les mesures d’acceptabilité, de plus en plus courantes, sensibilisent aux petites variations de couverture. C’est dans cet environnement statistique nouveau que s’ouvre la controverse de la vaccination contre l’hépatite B en 1996. Si les</w:t>
      </w:r>
      <w:r w:rsidRPr="005F676F">
        <w:t xml:space="preserve"> Français ne deviennent </w:t>
      </w:r>
      <w:r>
        <w:t xml:space="preserve">peut-être </w:t>
      </w:r>
      <w:r w:rsidRPr="005F676F">
        <w:t>pas</w:t>
      </w:r>
      <w:r>
        <w:t xml:space="preserve"> les</w:t>
      </w:r>
      <w:r w:rsidRPr="005F676F">
        <w:t xml:space="preserve"> leaders de la défiance vaccinale </w:t>
      </w:r>
      <w:r>
        <w:t>à partir de ce moment</w:t>
      </w:r>
      <w:r w:rsidRPr="005F676F">
        <w:t>,</w:t>
      </w:r>
      <w:r>
        <w:t xml:space="preserve"> ils prêtent désormais plus d’attention aux</w:t>
      </w:r>
      <w:r w:rsidRPr="005F676F">
        <w:t xml:space="preserve"> effets secondaires,</w:t>
      </w:r>
      <w:r>
        <w:t xml:space="preserve"> </w:t>
      </w:r>
      <w:r w:rsidRPr="005F676F">
        <w:t xml:space="preserve">un phénomène peu discuté depuis la </w:t>
      </w:r>
      <w:r>
        <w:t>suspension</w:t>
      </w:r>
      <w:r w:rsidRPr="005F676F">
        <w:t xml:space="preserve"> de la vaccination contre la variole.</w:t>
      </w:r>
      <w:r>
        <w:t xml:space="preserve"> Se mêle à cette crise la fin </w:t>
      </w:r>
      <w:r w:rsidRPr="00F21B81">
        <w:t>d’un certain type de mandarinat</w:t>
      </w:r>
      <w:r>
        <w:t xml:space="preserve"> – symbolisée par la fermeture du CIE en 1999</w:t>
      </w:r>
      <w:r w:rsidR="00D76AAC">
        <w:t> </w:t>
      </w:r>
      <w:r>
        <w:t xml:space="preserve">– avec la disparition des héros de la pédiatrie comme Robert Debré, </w:t>
      </w:r>
      <w:r w:rsidRPr="00F21B81">
        <w:t>des figures de médecin cher</w:t>
      </w:r>
      <w:r>
        <w:t>s</w:t>
      </w:r>
      <w:r w:rsidRPr="00F21B81">
        <w:t xml:space="preserve"> au cœur des </w:t>
      </w:r>
      <w:r>
        <w:t>parents</w:t>
      </w:r>
      <w:r w:rsidRPr="00F21B81">
        <w:t>.</w:t>
      </w:r>
      <w:r>
        <w:t xml:space="preserve"> Si le rapport des individus à la médecine change, celui de la médecine avec les perceptions du public change aussi, car les taux de couverture vaccinale, autrefois vaguement estimés mais franchement insatisfaisants au regard des critères actuels, n’alarmaient pas jusque-là les mandarins qui gardaient toute confiance dans l’absence de contestation durable de leurs disciplines. </w:t>
      </w:r>
    </w:p>
    <w:p w14:paraId="59E88780" w14:textId="77777777" w:rsidR="00D15D90" w:rsidRDefault="00D15D90" w:rsidP="00D76AAC">
      <w:pPr>
        <w:pStyle w:val="Corps"/>
        <w:rPr>
          <w:rFonts w:eastAsia="MS Mincho"/>
        </w:rPr>
      </w:pPr>
      <w:r>
        <w:rPr>
          <w:rFonts w:eastAsia="MS Mincho"/>
        </w:rPr>
        <w:t xml:space="preserve">La crise de la vaccination contre l’hépatite B ébranle l’idée que l’acte médical n’est </w:t>
      </w:r>
      <w:r>
        <w:t>« essentiellement qu’une confiance qui rejoint librement une conscience</w:t>
      </w:r>
      <w:r>
        <w:rPr>
          <w:rStyle w:val="Appelnotedebasdep"/>
          <w:rFonts w:ascii="Times New Roman" w:hAnsi="Times New Roman" w:cs="Times New Roman"/>
          <w:bCs/>
          <w:sz w:val="22"/>
          <w:szCs w:val="22"/>
        </w:rPr>
        <w:footnoteReference w:id="19"/>
      </w:r>
      <w:r>
        <w:t xml:space="preserve"> », pour reprendre une formule longtemps appliquée à la relation patient/médecin. Cependant, quand la controverse s’ouvre en 1996, les experts rassemblés au Comité technique des vaccinations ne voient pas cette transformation. Ils renâclent à réagir aux accusations contre le vaccin et jugent irrationnelles les suspicions d’effets indésirables graves. Le silence des autorités sanitaires, puis les réponses contradictoires apportées par l’État, ont alimenté un long feuilleton médiatique et juridique. Si </w:t>
      </w:r>
      <w:r>
        <w:lastRenderedPageBreak/>
        <w:t xml:space="preserve">la controverse a bien été déclenchée par une révolte contre un produit accusé de surcroit d’enrichir les laboratoires – le vaccin contre l’hépatite B est le premier vaccin onéreux de l’histoire de la santé publique – l’ampleur de la crise s’explique aussi par une incapacité à la gérer. </w:t>
      </w:r>
      <w:r>
        <w:rPr>
          <w:rFonts w:eastAsia="MS Mincho"/>
        </w:rPr>
        <w:t xml:space="preserve">Comme le souligne Grégoire </w:t>
      </w:r>
      <w:proofErr w:type="spellStart"/>
      <w:r>
        <w:rPr>
          <w:rFonts w:eastAsia="MS Mincho"/>
        </w:rPr>
        <w:t>Chamayou</w:t>
      </w:r>
      <w:proofErr w:type="spellEnd"/>
      <w:r>
        <w:rPr>
          <w:rFonts w:eastAsia="MS Mincho"/>
        </w:rPr>
        <w:t xml:space="preserve">, les « crises de </w:t>
      </w:r>
      <w:proofErr w:type="spellStart"/>
      <w:r>
        <w:rPr>
          <w:rFonts w:eastAsia="MS Mincho"/>
        </w:rPr>
        <w:t>gouvernementalité</w:t>
      </w:r>
      <w:proofErr w:type="spellEnd"/>
      <w:r>
        <w:rPr>
          <w:rFonts w:eastAsia="MS Mincho"/>
        </w:rPr>
        <w:t> » peuvent découler d’un refus des sujets d’être gouvernés autant que d’une faillite de l’aptitude à gouverner</w:t>
      </w:r>
      <w:r>
        <w:rPr>
          <w:rStyle w:val="Appelnotedebasdep"/>
          <w:rFonts w:ascii="Times New Roman" w:eastAsia="MS Mincho" w:hAnsi="Times New Roman" w:cs="Times New Roman"/>
          <w:bCs/>
          <w:sz w:val="22"/>
          <w:szCs w:val="22"/>
        </w:rPr>
        <w:footnoteReference w:id="20"/>
      </w:r>
      <w:r>
        <w:rPr>
          <w:rFonts w:eastAsia="MS Mincho"/>
        </w:rPr>
        <w:t>. On retrouve cette symétrie dans les effets de la crise : les responsables sanitaires français perdent confiance dans le pouvoir de l’autorité médicale sur les esprits, dans la force de persuasion de la raison scientifique, de la même façon que certains individus perdent confiance dans la vaccination.</w:t>
      </w:r>
    </w:p>
    <w:p w14:paraId="48A320D3" w14:textId="77777777" w:rsidR="00D15D90" w:rsidRDefault="00D15D90" w:rsidP="00D76AAC">
      <w:pPr>
        <w:pStyle w:val="Corps"/>
        <w:rPr>
          <w:rFonts w:eastAsia="MS Mincho"/>
        </w:rPr>
      </w:pPr>
      <w:r>
        <w:t xml:space="preserve">Les mesures de l’acceptabilité paraissent alors nécessaires à la stabilisation d’un domaine d’intervention soudainement chahuté. Elles sont censées dévoiler les ressorts d’une situation critique. Cependant, la demande des autorités nationales et internationales a beau assurer la croissance continue du champ d’investigation, les sciences sociales avouent leur </w:t>
      </w:r>
      <w:r>
        <w:rPr>
          <w:rFonts w:eastAsia="MS Mincho"/>
        </w:rPr>
        <w:t xml:space="preserve">incompréhension des déterminants de l’hésitation </w:t>
      </w:r>
      <w:r w:rsidRPr="004A69A2">
        <w:rPr>
          <w:rFonts w:eastAsia="MS Mincho"/>
        </w:rPr>
        <w:t>vaccinal</w:t>
      </w:r>
      <w:r w:rsidRPr="00F66AE5">
        <w:rPr>
          <w:rFonts w:eastAsia="MS Mincho"/>
        </w:rPr>
        <w:t>e</w:t>
      </w:r>
      <w:r>
        <w:rPr>
          <w:rFonts w:eastAsia="MS Mincho"/>
        </w:rPr>
        <w:t>. Prenons l’exemple de</w:t>
      </w:r>
      <w:r w:rsidRPr="00F66AE5">
        <w:rPr>
          <w:rFonts w:eastAsia="MS Mincho"/>
        </w:rPr>
        <w:t xml:space="preserve"> la vaccination contre le papillomavirus humain (HPV) introduite en 2006</w:t>
      </w:r>
      <w:r>
        <w:rPr>
          <w:rFonts w:eastAsia="MS Mincho"/>
        </w:rPr>
        <w:t>, qui sert souvent d’illustration à l’idée d’une crise de la vaccination. Ses taux trop bas résistent à l’analyse de santé publique. Comme le résument les auteures d’un article récent :</w:t>
      </w:r>
      <w:r w:rsidRPr="00F66AE5">
        <w:rPr>
          <w:rFonts w:eastAsia="MS Mincho"/>
        </w:rPr>
        <w:t xml:space="preserve"> « </w:t>
      </w:r>
      <w:r>
        <w:rPr>
          <w:rFonts w:eastAsia="MS Mincho"/>
        </w:rPr>
        <w:t>L</w:t>
      </w:r>
      <w:r w:rsidRPr="004A69A2">
        <w:rPr>
          <w:rFonts w:eastAsia="MS Mincho"/>
        </w:rPr>
        <w:t xml:space="preserve">es déterminants de l’hésitation vaccinale HPV en </w:t>
      </w:r>
      <w:r>
        <w:rPr>
          <w:rFonts w:eastAsia="MS Mincho"/>
        </w:rPr>
        <w:t xml:space="preserve">France </w:t>
      </w:r>
      <w:r w:rsidRPr="004A69A2">
        <w:rPr>
          <w:rFonts w:eastAsia="MS Mincho"/>
        </w:rPr>
        <w:t xml:space="preserve">restent mal connus, mal compris et, par conséquent, difficiles </w:t>
      </w:r>
      <w:proofErr w:type="spellStart"/>
      <w:r w:rsidRPr="004A69A2">
        <w:rPr>
          <w:rFonts w:eastAsia="MS Mincho"/>
        </w:rPr>
        <w:t>a</w:t>
      </w:r>
      <w:proofErr w:type="spellEnd"/>
      <w:r w:rsidRPr="004A69A2">
        <w:rPr>
          <w:rFonts w:eastAsia="MS Mincho"/>
        </w:rPr>
        <w:t>̀ prendre en compte</w:t>
      </w:r>
      <w:r>
        <w:rPr>
          <w:rStyle w:val="Appelnotedebasdep"/>
          <w:rFonts w:ascii="Times New Roman" w:eastAsia="MS Mincho" w:hAnsi="Times New Roman" w:cs="Times New Roman"/>
          <w:bCs/>
          <w:sz w:val="22"/>
          <w:szCs w:val="22"/>
        </w:rPr>
        <w:footnoteReference w:id="21"/>
      </w:r>
      <w:r>
        <w:rPr>
          <w:rFonts w:eastAsia="MS Mincho"/>
        </w:rPr>
        <w:t> ». Les publications regorgent d’hypothèses contradictoires. Le fléau de l’hésitation, décrit en termes épiques, embrasse visiblement de nombreux déboires et difficultés des temps modernes, dont le tsunami d’une information incontrôlée dans les réseaux sociaux, la perte de confiance des citoyens dans toutes les autorités, la montée des individualismes, etc.</w:t>
      </w:r>
    </w:p>
    <w:p w14:paraId="352F2B00" w14:textId="77777777" w:rsidR="00D15D90" w:rsidRPr="00B53EB5" w:rsidRDefault="00D15D90" w:rsidP="00D76AAC">
      <w:pPr>
        <w:pStyle w:val="VDIIntertitre"/>
      </w:pPr>
      <w:r w:rsidRPr="00B53EB5">
        <w:t>Conclusion</w:t>
      </w:r>
    </w:p>
    <w:p w14:paraId="6D916B80" w14:textId="77777777" w:rsidR="00D15D90" w:rsidRDefault="00D15D90" w:rsidP="00D76AAC">
      <w:pPr>
        <w:pStyle w:val="Corps"/>
      </w:pPr>
      <w:r>
        <w:rPr>
          <w:rFonts w:eastAsia="MS Mincho"/>
          <w:bCs/>
        </w:rPr>
        <w:t>Il est vrai que la</w:t>
      </w:r>
      <w:r w:rsidRPr="008A27C3">
        <w:t xml:space="preserve"> compréhension de la vaccination n’a jamais été seulement celle d’une technique médicale s’inscrivant dans une panoplie d’outils de soins et de santé. Sa longue histoire parmi les hommes est faite </w:t>
      </w:r>
      <w:r>
        <w:t xml:space="preserve">tant </w:t>
      </w:r>
      <w:r w:rsidRPr="008A27C3">
        <w:t>d’adaptations à des problèmes pratiques qu</w:t>
      </w:r>
      <w:r>
        <w:t>e d’interrogations sur</w:t>
      </w:r>
      <w:r w:rsidRPr="008A27C3">
        <w:t xml:space="preserve"> sa signification</w:t>
      </w:r>
      <w:r>
        <w:t xml:space="preserve"> sociale et politique,</w:t>
      </w:r>
      <w:r w:rsidRPr="008A27C3">
        <w:t xml:space="preserve"> vari</w:t>
      </w:r>
      <w:r>
        <w:t>ables</w:t>
      </w:r>
      <w:r w:rsidRPr="008A27C3">
        <w:t xml:space="preserve"> </w:t>
      </w:r>
      <w:r>
        <w:t xml:space="preserve">selon </w:t>
      </w:r>
      <w:r w:rsidRPr="008A27C3">
        <w:t>les époques. L</w:t>
      </w:r>
      <w:r>
        <w:t>a notion d’</w:t>
      </w:r>
      <w:r w:rsidRPr="008A27C3">
        <w:t>hésitation vaccinale</w:t>
      </w:r>
      <w:r>
        <w:t>, son appareil statistique, ainsi que l’impatience des experts devant le temps nécessaire à l’adoption des innovations, appartiennent indéniablement</w:t>
      </w:r>
      <w:r w:rsidRPr="008A27C3">
        <w:t xml:space="preserve"> à </w:t>
      </w:r>
      <w:r>
        <w:t>la</w:t>
      </w:r>
      <w:r w:rsidRPr="008A27C3">
        <w:t xml:space="preserve"> configuration</w:t>
      </w:r>
      <w:r>
        <w:t xml:space="preserve"> contemporaine de la vaccination</w:t>
      </w:r>
      <w:r w:rsidRPr="00846637">
        <w:t>.</w:t>
      </w:r>
      <w:r w:rsidRPr="008A27C3">
        <w:t xml:space="preserve"> Les hésitants, comme les croisés enrôlés sous la bannière de la dénonciation de l’hésitation vaccinale, incarnent un courant de pensée qui s’étend bien au-delà de la santé publique, et porte sur les rapports entre le corps et les autorités, le corps et la science, </w:t>
      </w:r>
      <w:r>
        <w:t>le corps et le</w:t>
      </w:r>
      <w:r w:rsidRPr="008A27C3">
        <w:t xml:space="preserve"> politique. </w:t>
      </w:r>
      <w:r>
        <w:t>À</w:t>
      </w:r>
      <w:r w:rsidRPr="008A27C3">
        <w:t xml:space="preserve"> travers le refus ou la temporisation à propos de tel ou tel </w:t>
      </w:r>
      <w:r w:rsidRPr="008A27C3">
        <w:lastRenderedPageBreak/>
        <w:t>vaccin, les citoyens manifestent leur besoin irrépressible d’explications</w:t>
      </w:r>
      <w:r>
        <w:t>. P</w:t>
      </w:r>
      <w:r w:rsidRPr="008A27C3">
        <w:t xml:space="preserve">rendre l’hésitation vaccinale comme </w:t>
      </w:r>
      <w:r>
        <w:t xml:space="preserve">la simple </w:t>
      </w:r>
      <w:r w:rsidRPr="008A27C3">
        <w:t>résultante d</w:t>
      </w:r>
      <w:r>
        <w:t>’un</w:t>
      </w:r>
      <w:r w:rsidRPr="008A27C3">
        <w:t xml:space="preserve"> illettrisme médical</w:t>
      </w:r>
      <w:r>
        <w:t xml:space="preserve"> et</w:t>
      </w:r>
      <w:r w:rsidRPr="008A27C3">
        <w:t xml:space="preserve"> de l’empire des réseaux sociaux sur </w:t>
      </w:r>
      <w:r>
        <w:t>d</w:t>
      </w:r>
      <w:r w:rsidRPr="008A27C3">
        <w:t xml:space="preserve">es populations </w:t>
      </w:r>
      <w:r>
        <w:t>passives pose problème</w:t>
      </w:r>
      <w:r w:rsidRPr="008A27C3">
        <w:t xml:space="preserve">. </w:t>
      </w:r>
      <w:r>
        <w:t xml:space="preserve">Car cette </w:t>
      </w:r>
      <w:r w:rsidRPr="008A27C3">
        <w:t xml:space="preserve">hésitation vaccinale </w:t>
      </w:r>
      <w:r>
        <w:t>peut être,</w:t>
      </w:r>
      <w:r w:rsidRPr="008A27C3">
        <w:t xml:space="preserve"> dans beaucoup de cas</w:t>
      </w:r>
      <w:r>
        <w:t>,</w:t>
      </w:r>
      <w:r w:rsidRPr="008A27C3">
        <w:t xml:space="preserve"> la preuve d’une attitude critique vis-à-vis des pouvoirs publics, </w:t>
      </w:r>
      <w:r>
        <w:t xml:space="preserve">et correspond à </w:t>
      </w:r>
      <w:r w:rsidRPr="008A27C3">
        <w:t xml:space="preserve">une attente, une demande légitime, à laquelle il faut effectivement prêter </w:t>
      </w:r>
      <w:r>
        <w:t xml:space="preserve">une </w:t>
      </w:r>
      <w:r w:rsidRPr="008A27C3">
        <w:t>attention</w:t>
      </w:r>
      <w:r>
        <w:t xml:space="preserve"> respectueuse.</w:t>
      </w:r>
    </w:p>
    <w:p w14:paraId="3E8BFA1F" w14:textId="011A6F92" w:rsidR="000B0DF2" w:rsidRPr="00D15D90" w:rsidRDefault="00D15D90" w:rsidP="00D76AAC">
      <w:pPr>
        <w:pStyle w:val="Corps"/>
      </w:pPr>
      <w:r>
        <w:t xml:space="preserve">Reste à savoir comment une notion, dont le succès doit tant au ratage de la vaccination contre le H1N1 en 2009, survivra à l’épidémie de Covid-19, qui remet en exergue l’importance des stocks, des infrastructures, et amène à relativiser la centralité des perceptions et des comportements individuels en santé publique. Avant le lancement de l’actuelle campagne, </w:t>
      </w:r>
      <w:proofErr w:type="gramStart"/>
      <w:r>
        <w:t>une membre</w:t>
      </w:r>
      <w:proofErr w:type="gramEnd"/>
      <w:r>
        <w:t xml:space="preserve"> du comité vaccin Covid-19 français concluait déjà un entretien : « </w:t>
      </w:r>
      <w:r w:rsidRPr="00F36A99">
        <w:t xml:space="preserve">Il y aura un problème </w:t>
      </w:r>
      <w:r>
        <w:t>[</w:t>
      </w:r>
      <w:r w:rsidRPr="00653977">
        <w:rPr>
          <w:i/>
        </w:rPr>
        <w:t>mondial</w:t>
      </w:r>
      <w:r>
        <w:t xml:space="preserve">] </w:t>
      </w:r>
      <w:r w:rsidRPr="00F36A99">
        <w:t>de logistique. La chaîne de froid, depuis toujours, est un obstacle majeur de la vaccination, plus que l'hésitation vaccinale.</w:t>
      </w:r>
      <w:r>
        <w:t> »</w:t>
      </w:r>
    </w:p>
    <w:p w14:paraId="0286298F" w14:textId="3902B7DF" w:rsidR="0063372A" w:rsidRDefault="0063372A" w:rsidP="0063372A">
      <w:pPr>
        <w:pStyle w:val="VDIdate"/>
      </w:pPr>
      <w:r>
        <w:t>Publié dans lavi</w:t>
      </w:r>
      <w:r w:rsidR="006E7A74">
        <w:t>e</w:t>
      </w:r>
      <w:r>
        <w:t xml:space="preserve">desidees.fr, le </w:t>
      </w:r>
      <w:r w:rsidR="00443066">
        <w:t>4 mai</w:t>
      </w:r>
      <w:r w:rsidR="00C70344">
        <w:t xml:space="preserve"> 202</w:t>
      </w:r>
      <w:r w:rsidR="00481151">
        <w:t>1</w:t>
      </w:r>
      <w:r>
        <w:t>.</w:t>
      </w:r>
    </w:p>
    <w:sectPr w:rsidR="0063372A" w:rsidSect="00472187">
      <w:footerReference w:type="default" r:id="rId11"/>
      <w:headerReference w:type="first" r:id="rId12"/>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C79E0" w14:textId="77777777" w:rsidR="006A41F4" w:rsidRDefault="006A41F4">
      <w:r>
        <w:separator/>
      </w:r>
    </w:p>
  </w:endnote>
  <w:endnote w:type="continuationSeparator" w:id="0">
    <w:p w14:paraId="4C38CB71" w14:textId="77777777" w:rsidR="006A41F4" w:rsidRDefault="006A4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altName w:val="﷽﷽﷽﷽﷽﷽﷽﷽slon Pro"/>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yriad Pro">
    <w:altName w:val="﷽﷽﷽﷽﷽﷽﷽﷽ro"/>
    <w:panose1 w:val="020B0604020202020204"/>
    <w:charset w:val="00"/>
    <w:family w:val="swiss"/>
    <w:notTrueType/>
    <w:pitch w:val="variable"/>
    <w:sig w:usb0="20000287" w:usb1="00000001" w:usb2="00000000" w:usb3="00000000" w:csb0="0000019F" w:csb1="00000000"/>
  </w:font>
  <w:font w:name="Adobe Caslon Pro Bold">
    <w:altName w:val="﷽﷽﷽﷽﷽﷽﷽﷽slon Pro Bold"/>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03700" w14:textId="77777777" w:rsidR="00E42C1C" w:rsidRDefault="00E42C1C">
    <w:pPr>
      <w:pStyle w:val="Pieddepage"/>
      <w:tabs>
        <w:tab w:val="clear" w:pos="9072"/>
        <w:tab w:val="right" w:pos="9044"/>
      </w:tabs>
      <w:jc w:val="right"/>
    </w:pPr>
    <w:r>
      <w:fldChar w:fldCharType="begin"/>
    </w:r>
    <w:r>
      <w:instrText xml:space="preserve"> PAGE </w:instrText>
    </w:r>
    <w:r>
      <w:fldChar w:fldCharType="separate"/>
    </w:r>
    <w:r w:rsidR="00AC217A">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C03D9" w14:textId="77777777" w:rsidR="006A41F4" w:rsidRDefault="006A41F4">
      <w:r>
        <w:separator/>
      </w:r>
    </w:p>
  </w:footnote>
  <w:footnote w:type="continuationSeparator" w:id="0">
    <w:p w14:paraId="503464E8" w14:textId="77777777" w:rsidR="006A41F4" w:rsidRDefault="006A41F4">
      <w:r>
        <w:continuationSeparator/>
      </w:r>
    </w:p>
  </w:footnote>
  <w:footnote w:id="1">
    <w:p w14:paraId="3D1C7A56" w14:textId="77777777" w:rsidR="00E42C1C" w:rsidRPr="00ED7800" w:rsidRDefault="00E42C1C" w:rsidP="00D15D90">
      <w:pPr>
        <w:pStyle w:val="Notedebasdepage"/>
        <w:jc w:val="both"/>
        <w:rPr>
          <w:rFonts w:ascii="Times New Roman" w:hAnsi="Times New Roman"/>
          <w:lang w:val="en-US"/>
        </w:rPr>
      </w:pPr>
      <w:r w:rsidRPr="00ED7800">
        <w:rPr>
          <w:rStyle w:val="Appelnotedebasdep"/>
          <w:rFonts w:ascii="Times New Roman" w:hAnsi="Times New Roman"/>
        </w:rPr>
        <w:footnoteRef/>
      </w:r>
      <w:r w:rsidRPr="00ED7800">
        <w:rPr>
          <w:rFonts w:ascii="Times New Roman" w:hAnsi="Times New Roman"/>
          <w:lang w:val="en-US"/>
        </w:rPr>
        <w:t xml:space="preserve"> Jeremy Ward, Caroline </w:t>
      </w:r>
      <w:proofErr w:type="spellStart"/>
      <w:r w:rsidRPr="00ED7800">
        <w:rPr>
          <w:rFonts w:ascii="Times New Roman" w:hAnsi="Times New Roman"/>
          <w:lang w:val="en-US"/>
        </w:rPr>
        <w:t>Alleaume</w:t>
      </w:r>
      <w:proofErr w:type="spellEnd"/>
      <w:r w:rsidRPr="00ED7800">
        <w:rPr>
          <w:rFonts w:ascii="Times New Roman" w:hAnsi="Times New Roman"/>
          <w:lang w:val="en-US"/>
        </w:rPr>
        <w:t xml:space="preserve">, Patrick </w:t>
      </w:r>
      <w:proofErr w:type="spellStart"/>
      <w:r w:rsidRPr="00ED7800">
        <w:rPr>
          <w:rFonts w:ascii="Times New Roman" w:hAnsi="Times New Roman"/>
          <w:lang w:val="en-US"/>
        </w:rPr>
        <w:t>Peretti-Watel</w:t>
      </w:r>
      <w:proofErr w:type="spellEnd"/>
      <w:r w:rsidRPr="00ED7800">
        <w:rPr>
          <w:rFonts w:ascii="Times New Roman" w:hAnsi="Times New Roman"/>
          <w:lang w:val="en-US"/>
        </w:rPr>
        <w:t xml:space="preserve">, “The French public’s attitudes to a future COVID-19 vaccine: The politicization of a public health issue”, </w:t>
      </w:r>
      <w:r w:rsidRPr="00ED7800">
        <w:rPr>
          <w:rFonts w:ascii="Times New Roman" w:hAnsi="Times New Roman"/>
          <w:i/>
          <w:lang w:val="en-US"/>
        </w:rPr>
        <w:t>Social Science &amp; Medicine</w:t>
      </w:r>
      <w:r w:rsidRPr="00ED7800">
        <w:rPr>
          <w:rFonts w:ascii="Times New Roman" w:hAnsi="Times New Roman"/>
          <w:lang w:val="en-US"/>
        </w:rPr>
        <w:t xml:space="preserve">, n° 265, 2020, 113414. </w:t>
      </w:r>
    </w:p>
  </w:footnote>
  <w:footnote w:id="2">
    <w:p w14:paraId="088E027F" w14:textId="7C79DC06" w:rsidR="00E42C1C" w:rsidRPr="00ED7800" w:rsidRDefault="00E42C1C" w:rsidP="00D15D90">
      <w:pPr>
        <w:pStyle w:val="Notedebasdepage"/>
        <w:jc w:val="both"/>
        <w:rPr>
          <w:rFonts w:ascii="Times New Roman" w:hAnsi="Times New Roman"/>
          <w:lang w:val="en-US"/>
        </w:rPr>
      </w:pPr>
      <w:r w:rsidRPr="00ED7800">
        <w:rPr>
          <w:rStyle w:val="Appelnotedebasdep"/>
          <w:rFonts w:ascii="Times New Roman" w:hAnsi="Times New Roman"/>
        </w:rPr>
        <w:footnoteRef/>
      </w:r>
      <w:r w:rsidRPr="00ED7800">
        <w:rPr>
          <w:rFonts w:ascii="Times New Roman" w:hAnsi="Times New Roman"/>
          <w:lang w:val="en-US"/>
        </w:rPr>
        <w:t xml:space="preserve"> Olivier </w:t>
      </w:r>
      <w:proofErr w:type="spellStart"/>
      <w:r w:rsidRPr="00ED7800">
        <w:rPr>
          <w:rFonts w:ascii="Times New Roman" w:hAnsi="Times New Roman"/>
          <w:lang w:val="en-US"/>
        </w:rPr>
        <w:t>Wouters</w:t>
      </w:r>
      <w:proofErr w:type="spellEnd"/>
      <w:r w:rsidRPr="00ED7800">
        <w:rPr>
          <w:rFonts w:ascii="Times New Roman" w:hAnsi="Times New Roman"/>
          <w:lang w:val="en-US"/>
        </w:rPr>
        <w:t xml:space="preserve"> et al., « Challenges in ensuring global access to COVID-19 vaccines: production, affordability, allocation, and deployment”, </w:t>
      </w:r>
      <w:r w:rsidRPr="00ED7800">
        <w:rPr>
          <w:rFonts w:ascii="Times New Roman" w:hAnsi="Times New Roman"/>
          <w:i/>
          <w:lang w:val="en-US"/>
        </w:rPr>
        <w:t>The Lancet</w:t>
      </w:r>
      <w:r w:rsidRPr="00ED7800">
        <w:rPr>
          <w:rFonts w:ascii="Times New Roman" w:hAnsi="Times New Roman"/>
          <w:lang w:val="en-US"/>
        </w:rPr>
        <w:t xml:space="preserve">, vol. 397, n° 10278, 2021, p. 1023-1034. </w:t>
      </w:r>
    </w:p>
  </w:footnote>
  <w:footnote w:id="3">
    <w:p w14:paraId="4B028007" w14:textId="77777777" w:rsidR="00E42C1C" w:rsidRPr="00ED7800" w:rsidRDefault="00E42C1C" w:rsidP="00D15D90">
      <w:pPr>
        <w:pStyle w:val="Notedebasdepage"/>
        <w:jc w:val="both"/>
        <w:rPr>
          <w:rFonts w:ascii="Times New Roman" w:hAnsi="Times New Roman"/>
          <w:lang w:val="en-US"/>
        </w:rPr>
      </w:pPr>
      <w:r w:rsidRPr="00ED7800">
        <w:rPr>
          <w:rStyle w:val="Appelnotedebasdep"/>
          <w:rFonts w:ascii="Times New Roman" w:hAnsi="Times New Roman"/>
        </w:rPr>
        <w:footnoteRef/>
      </w:r>
      <w:r w:rsidRPr="00ED7800">
        <w:rPr>
          <w:rFonts w:ascii="Times New Roman" w:hAnsi="Times New Roman"/>
          <w:lang w:val="en-US"/>
        </w:rPr>
        <w:t xml:space="preserve"> </w:t>
      </w:r>
      <w:r w:rsidRPr="00ED7800">
        <w:rPr>
          <w:rFonts w:ascii="Times New Roman" w:hAnsi="Times New Roman"/>
          <w:i/>
          <w:lang w:val="en-US"/>
        </w:rPr>
        <w:t>Report of the SAGE working group on vaccine hesitancy</w:t>
      </w:r>
      <w:r w:rsidRPr="00ED7800">
        <w:rPr>
          <w:rFonts w:ascii="Times New Roman" w:hAnsi="Times New Roman"/>
          <w:lang w:val="en-US"/>
        </w:rPr>
        <w:t>, 2014, p. 7</w:t>
      </w:r>
    </w:p>
  </w:footnote>
  <w:footnote w:id="4">
    <w:p w14:paraId="39F667BB" w14:textId="77777777" w:rsidR="00E42C1C" w:rsidRPr="00ED7800" w:rsidRDefault="00E42C1C" w:rsidP="00D15D90">
      <w:pPr>
        <w:pStyle w:val="Notedebasdepage"/>
        <w:jc w:val="both"/>
        <w:rPr>
          <w:rFonts w:ascii="Times New Roman" w:hAnsi="Times New Roman"/>
          <w:lang w:val="en-US"/>
        </w:rPr>
      </w:pPr>
      <w:r w:rsidRPr="00ED7800">
        <w:rPr>
          <w:rStyle w:val="Appelnotedebasdep"/>
          <w:rFonts w:ascii="Times New Roman" w:hAnsi="Times New Roman"/>
        </w:rPr>
        <w:footnoteRef/>
      </w:r>
      <w:r w:rsidRPr="00ED7800">
        <w:rPr>
          <w:rFonts w:ascii="Times New Roman" w:hAnsi="Times New Roman"/>
          <w:lang w:val="en-US"/>
        </w:rPr>
        <w:t xml:space="preserve"> Jenny Anderson, “She Hunts Viral Rumors About Real Viruses”, </w:t>
      </w:r>
      <w:r w:rsidRPr="00ED7800">
        <w:rPr>
          <w:rFonts w:ascii="Times New Roman" w:hAnsi="Times New Roman"/>
          <w:i/>
          <w:lang w:val="en-US"/>
        </w:rPr>
        <w:t>The New York Times</w:t>
      </w:r>
      <w:r w:rsidRPr="00ED7800">
        <w:rPr>
          <w:rFonts w:ascii="Times New Roman" w:hAnsi="Times New Roman"/>
          <w:lang w:val="en-US"/>
        </w:rPr>
        <w:t xml:space="preserve">, 13 </w:t>
      </w:r>
      <w:proofErr w:type="spellStart"/>
      <w:r w:rsidRPr="00ED7800">
        <w:rPr>
          <w:rFonts w:ascii="Times New Roman" w:hAnsi="Times New Roman"/>
          <w:lang w:val="en-US"/>
        </w:rPr>
        <w:t>octobre</w:t>
      </w:r>
      <w:proofErr w:type="spellEnd"/>
      <w:r w:rsidRPr="00ED7800">
        <w:rPr>
          <w:rFonts w:ascii="Times New Roman" w:hAnsi="Times New Roman"/>
          <w:lang w:val="en-US"/>
        </w:rPr>
        <w:t xml:space="preserve"> 2020. </w:t>
      </w:r>
    </w:p>
  </w:footnote>
  <w:footnote w:id="5">
    <w:p w14:paraId="3CF64CF2" w14:textId="118374C7" w:rsidR="00E42C1C" w:rsidRPr="00ED7800" w:rsidRDefault="00E42C1C" w:rsidP="00D15D90">
      <w:pPr>
        <w:pStyle w:val="Notedebasdepage"/>
        <w:jc w:val="both"/>
        <w:rPr>
          <w:rFonts w:ascii="Times New Roman" w:hAnsi="Times New Roman"/>
          <w:lang w:val="en-US"/>
        </w:rPr>
      </w:pPr>
      <w:r w:rsidRPr="00ED7800">
        <w:rPr>
          <w:rStyle w:val="Appelnotedebasdep"/>
          <w:rFonts w:ascii="Times New Roman" w:hAnsi="Times New Roman"/>
        </w:rPr>
        <w:footnoteRef/>
      </w:r>
      <w:r w:rsidRPr="00ED7800">
        <w:rPr>
          <w:rFonts w:ascii="Times New Roman" w:hAnsi="Times New Roman"/>
          <w:lang w:val="en-US"/>
        </w:rPr>
        <w:t xml:space="preserve"> David </w:t>
      </w:r>
      <w:proofErr w:type="spellStart"/>
      <w:r w:rsidRPr="00ED7800">
        <w:rPr>
          <w:rFonts w:ascii="Times New Roman" w:hAnsi="Times New Roman"/>
          <w:lang w:val="en-US"/>
        </w:rPr>
        <w:t>Gelles</w:t>
      </w:r>
      <w:proofErr w:type="spellEnd"/>
      <w:r w:rsidRPr="00ED7800">
        <w:rPr>
          <w:rFonts w:ascii="Times New Roman" w:hAnsi="Times New Roman"/>
          <w:lang w:val="en-US"/>
        </w:rPr>
        <w:t xml:space="preserve">, </w:t>
      </w:r>
      <w:r>
        <w:rPr>
          <w:rFonts w:ascii="Times New Roman" w:hAnsi="Times New Roman"/>
          <w:lang w:val="en-US"/>
        </w:rPr>
        <w:t>“</w:t>
      </w:r>
      <w:r w:rsidRPr="00ED7800">
        <w:rPr>
          <w:rFonts w:ascii="Times New Roman" w:hAnsi="Times New Roman"/>
          <w:lang w:val="en-US"/>
        </w:rPr>
        <w:t xml:space="preserve">Why Melinda Gates Spends Time </w:t>
      </w:r>
      <w:r>
        <w:rPr>
          <w:rFonts w:ascii="Times New Roman" w:hAnsi="Times New Roman"/>
          <w:lang w:val="en-US"/>
        </w:rPr>
        <w:t>‘</w:t>
      </w:r>
      <w:r w:rsidRPr="00ED7800">
        <w:rPr>
          <w:rFonts w:ascii="Times New Roman" w:hAnsi="Times New Roman"/>
          <w:lang w:val="en-US"/>
        </w:rPr>
        <w:t>Letting My Heart Break</w:t>
      </w:r>
      <w:r>
        <w:rPr>
          <w:rFonts w:ascii="Times New Roman" w:hAnsi="Times New Roman"/>
          <w:lang w:val="en-US"/>
        </w:rPr>
        <w:t>’</w:t>
      </w:r>
      <w:r w:rsidRPr="00ED7800">
        <w:rPr>
          <w:rFonts w:ascii="Times New Roman" w:hAnsi="Times New Roman"/>
          <w:lang w:val="en-US"/>
        </w:rPr>
        <w:t xml:space="preserve">”, </w:t>
      </w:r>
      <w:r w:rsidRPr="00ED7800">
        <w:rPr>
          <w:rFonts w:ascii="Times New Roman" w:hAnsi="Times New Roman"/>
          <w:i/>
          <w:lang w:val="en-US"/>
        </w:rPr>
        <w:t>The New York Times</w:t>
      </w:r>
      <w:r w:rsidRPr="00ED7800">
        <w:rPr>
          <w:rFonts w:ascii="Times New Roman" w:hAnsi="Times New Roman"/>
          <w:lang w:val="en-US"/>
        </w:rPr>
        <w:t xml:space="preserve">, 4 </w:t>
      </w:r>
      <w:proofErr w:type="spellStart"/>
      <w:r w:rsidRPr="00ED7800">
        <w:rPr>
          <w:rFonts w:ascii="Times New Roman" w:hAnsi="Times New Roman"/>
          <w:lang w:val="en-US"/>
        </w:rPr>
        <w:t>décembre</w:t>
      </w:r>
      <w:proofErr w:type="spellEnd"/>
      <w:r w:rsidRPr="00ED7800">
        <w:rPr>
          <w:rFonts w:ascii="Times New Roman" w:hAnsi="Times New Roman"/>
          <w:lang w:val="en-US"/>
        </w:rPr>
        <w:t xml:space="preserve"> 2020. </w:t>
      </w:r>
    </w:p>
  </w:footnote>
  <w:footnote w:id="6">
    <w:p w14:paraId="4FF2BBDA" w14:textId="77777777" w:rsidR="00E42C1C" w:rsidRPr="00EC0E2A" w:rsidRDefault="00E42C1C" w:rsidP="00D15D90">
      <w:pPr>
        <w:pStyle w:val="Notedebasdepage"/>
        <w:jc w:val="both"/>
        <w:rPr>
          <w:rFonts w:ascii="Times New Roman" w:hAnsi="Times New Roman"/>
        </w:rPr>
      </w:pPr>
      <w:r w:rsidRPr="00EC0E2A">
        <w:rPr>
          <w:rStyle w:val="Appelnotedebasdep"/>
          <w:rFonts w:ascii="Times New Roman" w:hAnsi="Times New Roman"/>
        </w:rPr>
        <w:footnoteRef/>
      </w:r>
      <w:r w:rsidRPr="00EC0E2A">
        <w:rPr>
          <w:rFonts w:ascii="Times New Roman" w:hAnsi="Times New Roman"/>
        </w:rPr>
        <w:t xml:space="preserve"> Anne Marie Moulin, « Les particularités françaises de l’histoire de la vaccination. La fin d’une exception ? », </w:t>
      </w:r>
      <w:r w:rsidRPr="00EC0E2A">
        <w:rPr>
          <w:rFonts w:ascii="Times New Roman" w:hAnsi="Times New Roman"/>
          <w:i/>
          <w:iCs/>
        </w:rPr>
        <w:t>Revue d’Épidémiologie et de Santé publique</w:t>
      </w:r>
      <w:r w:rsidRPr="00EC0E2A">
        <w:rPr>
          <w:rFonts w:ascii="Times New Roman" w:hAnsi="Times New Roman"/>
        </w:rPr>
        <w:t>, n° 54, 2006, p. 81-88.</w:t>
      </w:r>
    </w:p>
  </w:footnote>
  <w:footnote w:id="7">
    <w:p w14:paraId="2E1D6F2A" w14:textId="7B23A32C" w:rsidR="00E42C1C" w:rsidRPr="00ED7800" w:rsidRDefault="00E42C1C" w:rsidP="00D15D90">
      <w:pPr>
        <w:pStyle w:val="Notedebasdepage"/>
        <w:jc w:val="both"/>
        <w:rPr>
          <w:rFonts w:ascii="Times New Roman" w:hAnsi="Times New Roman"/>
        </w:rPr>
      </w:pPr>
      <w:r w:rsidRPr="00ED7800">
        <w:rPr>
          <w:rStyle w:val="Appelnotedebasdep"/>
          <w:rFonts w:ascii="Times New Roman" w:hAnsi="Times New Roman"/>
        </w:rPr>
        <w:footnoteRef/>
      </w:r>
      <w:r w:rsidRPr="00ED7800">
        <w:rPr>
          <w:rFonts w:ascii="Times New Roman" w:hAnsi="Times New Roman"/>
          <w:lang w:val="en-US"/>
        </w:rPr>
        <w:t xml:space="preserve"> Heidi Larson, “The biggest pandemic risk? </w:t>
      </w:r>
      <w:r w:rsidRPr="00ED7800">
        <w:rPr>
          <w:rFonts w:ascii="Times New Roman" w:hAnsi="Times New Roman"/>
        </w:rPr>
        <w:t xml:space="preserve">Viral </w:t>
      </w:r>
      <w:proofErr w:type="spellStart"/>
      <w:r w:rsidRPr="00ED7800">
        <w:rPr>
          <w:rFonts w:ascii="Times New Roman" w:hAnsi="Times New Roman"/>
        </w:rPr>
        <w:t>misinformation</w:t>
      </w:r>
      <w:proofErr w:type="spellEnd"/>
      <w:r w:rsidRPr="00ED7800">
        <w:rPr>
          <w:rFonts w:ascii="Times New Roman" w:hAnsi="Times New Roman"/>
        </w:rPr>
        <w:t xml:space="preserve">”, </w:t>
      </w:r>
      <w:r w:rsidRPr="00ED7800">
        <w:rPr>
          <w:rFonts w:ascii="Times New Roman" w:hAnsi="Times New Roman"/>
          <w:i/>
        </w:rPr>
        <w:t>Nature</w:t>
      </w:r>
      <w:r w:rsidRPr="00ED7800">
        <w:rPr>
          <w:rFonts w:ascii="Times New Roman" w:hAnsi="Times New Roman"/>
        </w:rPr>
        <w:t>, vol. 562, 2018, p. 309.</w:t>
      </w:r>
    </w:p>
  </w:footnote>
  <w:footnote w:id="8">
    <w:p w14:paraId="3A3E7759" w14:textId="2FE41236" w:rsidR="00E42C1C" w:rsidRPr="00653977" w:rsidRDefault="00E42C1C" w:rsidP="00D15D90">
      <w:pPr>
        <w:pStyle w:val="Notedebasdepage"/>
        <w:rPr>
          <w:rFonts w:ascii="Times New Roman" w:hAnsi="Times New Roman"/>
          <w:lang w:val="en-US"/>
        </w:rPr>
      </w:pPr>
      <w:r w:rsidRPr="00653977">
        <w:rPr>
          <w:rStyle w:val="Appelnotedebasdep"/>
          <w:rFonts w:ascii="Times New Roman" w:hAnsi="Times New Roman"/>
        </w:rPr>
        <w:footnoteRef/>
      </w:r>
      <w:r w:rsidRPr="00653977">
        <w:rPr>
          <w:rFonts w:ascii="Times New Roman" w:hAnsi="Times New Roman"/>
          <w:lang w:val="en-US"/>
        </w:rPr>
        <w:t xml:space="preserve"> David A. </w:t>
      </w:r>
      <w:proofErr w:type="spellStart"/>
      <w:r w:rsidRPr="00653977">
        <w:rPr>
          <w:rFonts w:ascii="Times New Roman" w:hAnsi="Times New Roman"/>
          <w:lang w:val="en-US"/>
        </w:rPr>
        <w:t>Broniatowski</w:t>
      </w:r>
      <w:proofErr w:type="spellEnd"/>
      <w:r w:rsidRPr="00653977">
        <w:rPr>
          <w:rFonts w:ascii="Times New Roman" w:hAnsi="Times New Roman"/>
          <w:lang w:val="en-US"/>
        </w:rPr>
        <w:t xml:space="preserve"> et al, </w:t>
      </w:r>
      <w:r w:rsidRPr="00ED7800">
        <w:rPr>
          <w:rFonts w:ascii="Times New Roman" w:hAnsi="Times New Roman"/>
          <w:lang w:val="en-US"/>
        </w:rPr>
        <w:t>“</w:t>
      </w:r>
      <w:r w:rsidRPr="00653977">
        <w:rPr>
          <w:rFonts w:ascii="Times New Roman" w:hAnsi="Times New Roman"/>
          <w:lang w:val="en-US"/>
        </w:rPr>
        <w:t>Twitter and Facebook posts about COVID-19 are less likely to spread false and low-credibility content compared to other health topics</w:t>
      </w:r>
      <w:r>
        <w:rPr>
          <w:rFonts w:ascii="Times New Roman" w:hAnsi="Times New Roman"/>
          <w:lang w:val="en-US"/>
        </w:rPr>
        <w:t>”</w:t>
      </w:r>
      <w:r w:rsidRPr="00653977">
        <w:rPr>
          <w:rFonts w:ascii="Times New Roman" w:hAnsi="Times New Roman"/>
          <w:lang w:val="en-US"/>
        </w:rPr>
        <w:t xml:space="preserve">, preprint, mars 2021. </w:t>
      </w:r>
    </w:p>
  </w:footnote>
  <w:footnote w:id="9">
    <w:p w14:paraId="09756A0D" w14:textId="77777777" w:rsidR="00E42C1C" w:rsidRPr="00ED7800" w:rsidRDefault="00E42C1C" w:rsidP="00D15D90">
      <w:pPr>
        <w:pStyle w:val="Notedebasdepage"/>
        <w:jc w:val="both"/>
        <w:rPr>
          <w:rFonts w:ascii="Times New Roman" w:hAnsi="Times New Roman"/>
        </w:rPr>
      </w:pPr>
      <w:r w:rsidRPr="00193898">
        <w:rPr>
          <w:rStyle w:val="Appelnotedebasdep"/>
          <w:rFonts w:ascii="Times New Roman" w:hAnsi="Times New Roman"/>
        </w:rPr>
        <w:footnoteRef/>
      </w:r>
      <w:r w:rsidRPr="00193898">
        <w:rPr>
          <w:rFonts w:ascii="Times New Roman" w:hAnsi="Times New Roman"/>
        </w:rPr>
        <w:t xml:space="preserve"> </w:t>
      </w:r>
      <w:proofErr w:type="spellStart"/>
      <w:r w:rsidRPr="00193898">
        <w:rPr>
          <w:rFonts w:ascii="Times New Roman" w:hAnsi="Times New Roman"/>
        </w:rPr>
        <w:t>Aquilino</w:t>
      </w:r>
      <w:proofErr w:type="spellEnd"/>
      <w:r w:rsidRPr="00193898">
        <w:rPr>
          <w:rFonts w:ascii="Times New Roman" w:hAnsi="Times New Roman"/>
        </w:rPr>
        <w:t xml:space="preserve"> Morelle, </w:t>
      </w:r>
      <w:r w:rsidRPr="00193898">
        <w:rPr>
          <w:rFonts w:ascii="Times New Roman" w:hAnsi="Times New Roman"/>
          <w:i/>
          <w:iCs/>
        </w:rPr>
        <w:t xml:space="preserve">La défaite de la santé publique, </w:t>
      </w:r>
      <w:r w:rsidRPr="00193898">
        <w:rPr>
          <w:rFonts w:ascii="Times New Roman" w:hAnsi="Times New Roman"/>
          <w:iCs/>
        </w:rPr>
        <w:t>Paris, Flammarion,</w:t>
      </w:r>
      <w:r w:rsidRPr="00193898">
        <w:rPr>
          <w:rFonts w:ascii="Times New Roman" w:hAnsi="Times New Roman"/>
          <w:i/>
          <w:iCs/>
        </w:rPr>
        <w:t xml:space="preserve"> </w:t>
      </w:r>
      <w:r w:rsidRPr="00193898">
        <w:rPr>
          <w:rFonts w:ascii="Times New Roman" w:hAnsi="Times New Roman"/>
          <w:iCs/>
        </w:rPr>
        <w:t>1996</w:t>
      </w:r>
      <w:r w:rsidRPr="00193898">
        <w:rPr>
          <w:rFonts w:ascii="Times New Roman" w:hAnsi="Times New Roman"/>
          <w:i/>
          <w:iCs/>
        </w:rPr>
        <w:t xml:space="preserve"> ; </w:t>
      </w:r>
      <w:r w:rsidRPr="00193898">
        <w:rPr>
          <w:rFonts w:ascii="Times New Roman" w:hAnsi="Times New Roman"/>
        </w:rPr>
        <w:t>Laurie</w:t>
      </w:r>
      <w:r w:rsidRPr="00193898">
        <w:rPr>
          <w:rFonts w:ascii="Times New Roman" w:hAnsi="Times New Roman"/>
          <w:i/>
          <w:iCs/>
        </w:rPr>
        <w:t xml:space="preserve"> </w:t>
      </w:r>
      <w:r w:rsidRPr="00193898">
        <w:rPr>
          <w:rFonts w:ascii="Times New Roman" w:hAnsi="Times New Roman"/>
        </w:rPr>
        <w:t xml:space="preserve">Garrett, </w:t>
      </w:r>
      <w:proofErr w:type="spellStart"/>
      <w:r w:rsidRPr="00193898">
        <w:rPr>
          <w:rFonts w:ascii="Times New Roman" w:hAnsi="Times New Roman"/>
          <w:i/>
        </w:rPr>
        <w:t>Betrayal</w:t>
      </w:r>
      <w:proofErr w:type="spellEnd"/>
      <w:r w:rsidRPr="00193898">
        <w:rPr>
          <w:rFonts w:ascii="Times New Roman" w:hAnsi="Times New Roman"/>
          <w:i/>
        </w:rPr>
        <w:t xml:space="preserve"> of Trust, The </w:t>
      </w:r>
      <w:r w:rsidRPr="005613B5">
        <w:rPr>
          <w:rFonts w:ascii="Times New Roman" w:hAnsi="Times New Roman"/>
          <w:i/>
        </w:rPr>
        <w:t xml:space="preserve">Collapse of Public </w:t>
      </w:r>
      <w:proofErr w:type="spellStart"/>
      <w:r w:rsidRPr="005613B5">
        <w:rPr>
          <w:rFonts w:ascii="Times New Roman" w:hAnsi="Times New Roman"/>
          <w:i/>
        </w:rPr>
        <w:t>Health</w:t>
      </w:r>
      <w:proofErr w:type="spellEnd"/>
      <w:r w:rsidRPr="005613B5">
        <w:rPr>
          <w:rFonts w:ascii="Times New Roman" w:hAnsi="Times New Roman"/>
        </w:rPr>
        <w:t xml:space="preserve">, Oxford, Oxford </w:t>
      </w:r>
      <w:proofErr w:type="spellStart"/>
      <w:r w:rsidRPr="005613B5">
        <w:rPr>
          <w:rFonts w:ascii="Times New Roman" w:hAnsi="Times New Roman"/>
        </w:rPr>
        <w:t>University</w:t>
      </w:r>
      <w:proofErr w:type="spellEnd"/>
      <w:r w:rsidRPr="005613B5">
        <w:rPr>
          <w:rFonts w:ascii="Times New Roman" w:hAnsi="Times New Roman"/>
        </w:rPr>
        <w:t xml:space="preserve"> </w:t>
      </w:r>
      <w:proofErr w:type="spellStart"/>
      <w:r w:rsidRPr="005613B5">
        <w:rPr>
          <w:rFonts w:ascii="Times New Roman" w:hAnsi="Times New Roman"/>
        </w:rPr>
        <w:t>Press</w:t>
      </w:r>
      <w:proofErr w:type="spellEnd"/>
      <w:r w:rsidRPr="005613B5">
        <w:rPr>
          <w:rFonts w:ascii="Times New Roman" w:hAnsi="Times New Roman"/>
        </w:rPr>
        <w:t xml:space="preserve">, 2001 ; François </w:t>
      </w:r>
      <w:proofErr w:type="spellStart"/>
      <w:r w:rsidRPr="005613B5">
        <w:rPr>
          <w:rFonts w:ascii="Times New Roman" w:hAnsi="Times New Roman"/>
        </w:rPr>
        <w:t>Grémy</w:t>
      </w:r>
      <w:proofErr w:type="spellEnd"/>
      <w:r w:rsidRPr="005613B5">
        <w:rPr>
          <w:rFonts w:ascii="Times New Roman" w:hAnsi="Times New Roman"/>
        </w:rPr>
        <w:t xml:space="preserve">, </w:t>
      </w:r>
      <w:r w:rsidRPr="005613B5">
        <w:rPr>
          <w:rFonts w:ascii="Times New Roman" w:hAnsi="Times New Roman"/>
          <w:i/>
          <w:iCs/>
        </w:rPr>
        <w:t>On a encore oublié la santé</w:t>
      </w:r>
      <w:r w:rsidRPr="00ED7800">
        <w:rPr>
          <w:rFonts w:ascii="Times New Roman" w:hAnsi="Times New Roman"/>
          <w:i/>
          <w:iCs/>
        </w:rPr>
        <w:t xml:space="preserve">, </w:t>
      </w:r>
      <w:r w:rsidRPr="00ED7800">
        <w:rPr>
          <w:rFonts w:ascii="Times New Roman" w:hAnsi="Times New Roman"/>
          <w:iCs/>
        </w:rPr>
        <w:t>Paris,</w:t>
      </w:r>
      <w:r w:rsidRPr="00ED7800">
        <w:rPr>
          <w:rFonts w:ascii="Times New Roman" w:hAnsi="Times New Roman"/>
        </w:rPr>
        <w:t xml:space="preserve"> Frison Roche, 2004.</w:t>
      </w:r>
      <w:r w:rsidRPr="00ED7800">
        <w:rPr>
          <w:rFonts w:ascii="Times New Roman" w:hAnsi="Times New Roman"/>
          <w:i/>
          <w:iCs/>
        </w:rPr>
        <w:t xml:space="preserve"> </w:t>
      </w:r>
    </w:p>
  </w:footnote>
  <w:footnote w:id="10">
    <w:p w14:paraId="78722A98" w14:textId="1167AB82" w:rsidR="00E42C1C" w:rsidRPr="005E4983" w:rsidRDefault="00E42C1C" w:rsidP="00D15D90">
      <w:pPr>
        <w:pStyle w:val="Notedebasdepage"/>
        <w:jc w:val="both"/>
        <w:rPr>
          <w:rFonts w:ascii="Times New Roman" w:hAnsi="Times New Roman"/>
        </w:rPr>
      </w:pPr>
      <w:r w:rsidRPr="00861F45">
        <w:rPr>
          <w:rStyle w:val="Appelnotedebasdep"/>
          <w:rFonts w:ascii="Times New Roman" w:hAnsi="Times New Roman"/>
        </w:rPr>
        <w:footnoteRef/>
      </w:r>
      <w:r w:rsidRPr="00861F45">
        <w:rPr>
          <w:rFonts w:ascii="Times New Roman" w:hAnsi="Times New Roman"/>
          <w:lang w:val="en-US"/>
        </w:rPr>
        <w:t xml:space="preserve"> </w:t>
      </w:r>
      <w:proofErr w:type="spellStart"/>
      <w:r w:rsidRPr="00861F45">
        <w:rPr>
          <w:rFonts w:ascii="Times New Roman" w:hAnsi="Times New Roman"/>
          <w:lang w:val="en-US"/>
        </w:rPr>
        <w:t>Voir</w:t>
      </w:r>
      <w:proofErr w:type="spellEnd"/>
      <w:r w:rsidRPr="00861F45">
        <w:rPr>
          <w:rFonts w:ascii="Times New Roman" w:hAnsi="Times New Roman"/>
          <w:lang w:val="en-US"/>
        </w:rPr>
        <w:t xml:space="preserve"> par </w:t>
      </w:r>
      <w:proofErr w:type="spellStart"/>
      <w:proofErr w:type="gramStart"/>
      <w:r w:rsidRPr="00861F45">
        <w:rPr>
          <w:rFonts w:ascii="Times New Roman" w:hAnsi="Times New Roman"/>
          <w:lang w:val="en-US"/>
        </w:rPr>
        <w:t>exemple</w:t>
      </w:r>
      <w:proofErr w:type="spellEnd"/>
      <w:r w:rsidRPr="00861F45">
        <w:rPr>
          <w:rFonts w:ascii="Times New Roman" w:hAnsi="Times New Roman"/>
          <w:lang w:val="en-US"/>
        </w:rPr>
        <w:t xml:space="preserve"> :</w:t>
      </w:r>
      <w:proofErr w:type="gramEnd"/>
      <w:r w:rsidRPr="00861F45">
        <w:rPr>
          <w:rFonts w:ascii="Times New Roman" w:hAnsi="Times New Roman"/>
          <w:lang w:val="en-US"/>
        </w:rPr>
        <w:t xml:space="preserve"> Rhea Boyd, “Black People Need Better Vaccine Access, Not Better Vaccine Attitudes”, </w:t>
      </w:r>
      <w:r w:rsidRPr="00861F45">
        <w:rPr>
          <w:rFonts w:ascii="Times New Roman" w:hAnsi="Times New Roman"/>
          <w:i/>
          <w:iCs/>
          <w:lang w:val="en-US"/>
        </w:rPr>
        <w:t>The New York Times</w:t>
      </w:r>
      <w:r w:rsidRPr="00861F45">
        <w:rPr>
          <w:rFonts w:ascii="Times New Roman" w:hAnsi="Times New Roman"/>
          <w:lang w:val="en-US"/>
        </w:rPr>
        <w:t xml:space="preserve">, 5 mars 2021. </w:t>
      </w:r>
      <w:r w:rsidR="00861F45" w:rsidRPr="00861F45">
        <w:rPr>
          <w:rFonts w:ascii="Times New Roman" w:eastAsia="Times New Roman" w:hAnsi="Times New Roman"/>
          <w:bdr w:val="none" w:sz="0" w:space="0" w:color="auto" w:frame="1"/>
        </w:rPr>
        <w:t xml:space="preserve">Sur les limites de la notion d'hésitation vaccinale dans des contextes africains, voir </w:t>
      </w:r>
      <w:proofErr w:type="spellStart"/>
      <w:r w:rsidR="00861F45" w:rsidRPr="00861F45">
        <w:rPr>
          <w:rFonts w:ascii="Times New Roman" w:eastAsia="Times New Roman" w:hAnsi="Times New Roman"/>
          <w:bdr w:val="none" w:sz="0" w:space="0" w:color="auto" w:frame="1"/>
        </w:rPr>
        <w:t>Oumy</w:t>
      </w:r>
      <w:proofErr w:type="spellEnd"/>
      <w:r w:rsidR="00861F45" w:rsidRPr="00861F45">
        <w:rPr>
          <w:rFonts w:ascii="Times New Roman" w:eastAsia="Times New Roman" w:hAnsi="Times New Roman"/>
          <w:bdr w:val="none" w:sz="0" w:space="0" w:color="auto" w:frame="1"/>
        </w:rPr>
        <w:t xml:space="preserve"> </w:t>
      </w:r>
      <w:proofErr w:type="spellStart"/>
      <w:r w:rsidR="00861F45" w:rsidRPr="00861F45">
        <w:rPr>
          <w:rFonts w:ascii="Times New Roman" w:eastAsia="Times New Roman" w:hAnsi="Times New Roman"/>
          <w:bdr w:val="none" w:sz="0" w:space="0" w:color="auto" w:frame="1"/>
        </w:rPr>
        <w:t>Thiongane</w:t>
      </w:r>
      <w:proofErr w:type="spellEnd"/>
      <w:r w:rsidR="00861F45" w:rsidRPr="00861F45">
        <w:rPr>
          <w:rFonts w:ascii="Times New Roman" w:eastAsia="Times New Roman" w:hAnsi="Times New Roman"/>
          <w:bdr w:val="none" w:sz="0" w:space="0" w:color="auto" w:frame="1"/>
        </w:rPr>
        <w:t xml:space="preserve"> "</w:t>
      </w:r>
      <w:hyperlink r:id="rId1" w:tgtFrame="_blank" w:history="1">
        <w:r w:rsidR="00861F45" w:rsidRPr="00861F45">
          <w:rPr>
            <w:rStyle w:val="Lienhypertexte"/>
            <w:rFonts w:ascii="Times New Roman" w:eastAsia="Times New Roman" w:hAnsi="Times New Roman"/>
          </w:rPr>
          <w:t>En Afrique, la notion d’hésitation vaccinale est un modèle voyageur</w:t>
        </w:r>
      </w:hyperlink>
      <w:r w:rsidR="00861F45" w:rsidRPr="00861F45">
        <w:rPr>
          <w:rFonts w:ascii="Times New Roman" w:eastAsia="Times New Roman" w:hAnsi="Times New Roman"/>
        </w:rPr>
        <w:t xml:space="preserve">", </w:t>
      </w:r>
      <w:r w:rsidR="00861F45" w:rsidRPr="00861F45">
        <w:rPr>
          <w:rFonts w:ascii="Times New Roman" w:eastAsia="Times New Roman" w:hAnsi="Times New Roman"/>
          <w:i/>
          <w:iCs/>
        </w:rPr>
        <w:t>The conversation</w:t>
      </w:r>
      <w:r w:rsidR="00861F45" w:rsidRPr="00861F45">
        <w:rPr>
          <w:rFonts w:ascii="Times New Roman" w:eastAsia="Times New Roman" w:hAnsi="Times New Roman"/>
        </w:rPr>
        <w:t>, 22 avril 2021</w:t>
      </w:r>
      <w:r w:rsidR="00861F45">
        <w:rPr>
          <w:rFonts w:ascii="Times New Roman" w:eastAsia="Times New Roman" w:hAnsi="Times New Roman"/>
        </w:rPr>
        <w:t xml:space="preserve">. </w:t>
      </w:r>
    </w:p>
  </w:footnote>
  <w:footnote w:id="11">
    <w:p w14:paraId="4ED8FA0F" w14:textId="6C6183A4" w:rsidR="00E42C1C" w:rsidRPr="00193898" w:rsidRDefault="00E42C1C" w:rsidP="00D15D90">
      <w:pPr>
        <w:pStyle w:val="Notedebasdepage"/>
        <w:jc w:val="both"/>
        <w:rPr>
          <w:rFonts w:ascii="Times New Roman" w:hAnsi="Times New Roman"/>
        </w:rPr>
      </w:pPr>
      <w:r w:rsidRPr="00193898">
        <w:rPr>
          <w:rStyle w:val="Appelnotedebasdep"/>
          <w:rFonts w:ascii="Times New Roman" w:hAnsi="Times New Roman"/>
        </w:rPr>
        <w:footnoteRef/>
      </w:r>
      <w:r w:rsidRPr="00193898">
        <w:rPr>
          <w:rFonts w:ascii="Times New Roman" w:hAnsi="Times New Roman"/>
        </w:rPr>
        <w:t xml:space="preserve"> Gaston Ramon, </w:t>
      </w:r>
      <w:r>
        <w:rPr>
          <w:rFonts w:ascii="Times New Roman" w:hAnsi="Times New Roman"/>
        </w:rPr>
        <w:t>« </w:t>
      </w:r>
      <w:r w:rsidRPr="00193898">
        <w:rPr>
          <w:rFonts w:ascii="Times New Roman" w:hAnsi="Times New Roman"/>
        </w:rPr>
        <w:t xml:space="preserve">Les vaccinations associées au moyen des </w:t>
      </w:r>
      <w:r>
        <w:rPr>
          <w:rFonts w:ascii="Times New Roman" w:hAnsi="Times New Roman"/>
        </w:rPr>
        <w:t>‘</w:t>
      </w:r>
      <w:r w:rsidRPr="00193898">
        <w:rPr>
          <w:rFonts w:ascii="Times New Roman" w:hAnsi="Times New Roman"/>
        </w:rPr>
        <w:t>vaccins combinés</w:t>
      </w:r>
      <w:r>
        <w:rPr>
          <w:rFonts w:ascii="Times New Roman" w:hAnsi="Times New Roman"/>
        </w:rPr>
        <w:t>’</w:t>
      </w:r>
      <w:r w:rsidRPr="00193898">
        <w:rPr>
          <w:rFonts w:ascii="Times New Roman" w:hAnsi="Times New Roman"/>
        </w:rPr>
        <w:t xml:space="preserve">. Bases. Essor. Résultats », </w:t>
      </w:r>
      <w:r w:rsidRPr="00193898">
        <w:rPr>
          <w:rFonts w:ascii="Times New Roman" w:hAnsi="Times New Roman"/>
          <w:i/>
        </w:rPr>
        <w:t>Revue d’immunologie</w:t>
      </w:r>
      <w:r w:rsidRPr="00193898">
        <w:rPr>
          <w:rFonts w:ascii="Times New Roman" w:hAnsi="Times New Roman"/>
        </w:rPr>
        <w:t xml:space="preserve">, vol. 13, n° 1-2, 1949, p. 41-65, citation p. 41. </w:t>
      </w:r>
    </w:p>
  </w:footnote>
  <w:footnote w:id="12">
    <w:p w14:paraId="74FE0091" w14:textId="7104406B" w:rsidR="00E42C1C" w:rsidRPr="00193898" w:rsidRDefault="00E42C1C" w:rsidP="00D15D90">
      <w:pPr>
        <w:pStyle w:val="Notedebasdepage"/>
        <w:jc w:val="both"/>
        <w:rPr>
          <w:rFonts w:ascii="Times New Roman" w:hAnsi="Times New Roman"/>
          <w:lang w:val="en-US"/>
        </w:rPr>
      </w:pPr>
      <w:r w:rsidRPr="00193898">
        <w:rPr>
          <w:rStyle w:val="Appelnotedebasdep"/>
          <w:rFonts w:ascii="Times New Roman" w:hAnsi="Times New Roman"/>
        </w:rPr>
        <w:footnoteRef/>
      </w:r>
      <w:r w:rsidRPr="00193898">
        <w:rPr>
          <w:rFonts w:ascii="Times New Roman" w:hAnsi="Times New Roman"/>
          <w:lang w:val="en-US"/>
        </w:rPr>
        <w:t xml:space="preserve"> </w:t>
      </w:r>
      <w:proofErr w:type="spellStart"/>
      <w:r w:rsidRPr="00193898">
        <w:rPr>
          <w:rFonts w:ascii="Times New Roman" w:hAnsi="Times New Roman"/>
          <w:lang w:val="en-US"/>
        </w:rPr>
        <w:t>Gaëtan</w:t>
      </w:r>
      <w:proofErr w:type="spellEnd"/>
      <w:r w:rsidRPr="00193898">
        <w:rPr>
          <w:rFonts w:ascii="Times New Roman" w:hAnsi="Times New Roman"/>
          <w:lang w:val="en-US"/>
        </w:rPr>
        <w:t xml:space="preserve"> Thomas, “Keeping Vaccination Simple: Building French Immunization Schedules”, </w:t>
      </w:r>
      <w:r w:rsidRPr="00193898">
        <w:rPr>
          <w:rFonts w:ascii="Times New Roman" w:hAnsi="Times New Roman"/>
          <w:i/>
          <w:lang w:val="en-US"/>
        </w:rPr>
        <w:t>Bulletin of the History of Medicine</w:t>
      </w:r>
      <w:r w:rsidRPr="00193898">
        <w:rPr>
          <w:rFonts w:ascii="Times New Roman" w:hAnsi="Times New Roman"/>
          <w:lang w:val="en-US"/>
        </w:rPr>
        <w:t xml:space="preserve">, vol. 94, n° 3, 2020, p. 423-458. </w:t>
      </w:r>
    </w:p>
  </w:footnote>
  <w:footnote w:id="13">
    <w:p w14:paraId="4F68A2D3" w14:textId="77777777" w:rsidR="00E42C1C" w:rsidRPr="00193898" w:rsidRDefault="00E42C1C" w:rsidP="00D15D90">
      <w:pPr>
        <w:pStyle w:val="Notedebasdepage"/>
        <w:jc w:val="both"/>
        <w:rPr>
          <w:rFonts w:ascii="Times New Roman" w:hAnsi="Times New Roman"/>
          <w:lang w:val="en-US"/>
        </w:rPr>
      </w:pPr>
      <w:r w:rsidRPr="00193898">
        <w:rPr>
          <w:rStyle w:val="Appelnotedebasdep"/>
          <w:rFonts w:ascii="Times New Roman" w:hAnsi="Times New Roman"/>
        </w:rPr>
        <w:footnoteRef/>
      </w:r>
      <w:r w:rsidRPr="00193898">
        <w:rPr>
          <w:rFonts w:ascii="Times New Roman" w:hAnsi="Times New Roman"/>
          <w:lang w:val="en-US"/>
        </w:rPr>
        <w:t xml:space="preserve"> Thomas M. Daniel et Frederick C. Robbins (dir.), </w:t>
      </w:r>
      <w:r w:rsidRPr="00193898">
        <w:rPr>
          <w:rFonts w:ascii="Times New Roman" w:hAnsi="Times New Roman"/>
          <w:i/>
          <w:iCs/>
          <w:lang w:val="en-US"/>
        </w:rPr>
        <w:t>Polio</w:t>
      </w:r>
      <w:r w:rsidRPr="00193898">
        <w:rPr>
          <w:rFonts w:ascii="Times New Roman" w:hAnsi="Times New Roman"/>
          <w:lang w:val="en-US"/>
        </w:rPr>
        <w:t>, Rochester, University of Rochester Press, 1997.</w:t>
      </w:r>
    </w:p>
  </w:footnote>
  <w:footnote w:id="14">
    <w:p w14:paraId="7C3B6512" w14:textId="77777777" w:rsidR="00E42C1C" w:rsidRPr="00F66AE5" w:rsidRDefault="00E42C1C" w:rsidP="00D15D90">
      <w:pPr>
        <w:pStyle w:val="Notedebasdepage"/>
        <w:jc w:val="both"/>
        <w:rPr>
          <w:rFonts w:ascii="Times New Roman" w:hAnsi="Times New Roman"/>
          <w:lang w:val="en-US"/>
        </w:rPr>
      </w:pPr>
      <w:r w:rsidRPr="00F66AE5">
        <w:rPr>
          <w:rStyle w:val="Appelnotedebasdep"/>
          <w:rFonts w:ascii="Times New Roman" w:hAnsi="Times New Roman"/>
        </w:rPr>
        <w:footnoteRef/>
      </w:r>
      <w:r w:rsidRPr="00F66AE5">
        <w:rPr>
          <w:rFonts w:ascii="Times New Roman" w:hAnsi="Times New Roman"/>
          <w:lang w:val="en-US"/>
        </w:rPr>
        <w:t xml:space="preserve"> Paul Offit, </w:t>
      </w:r>
      <w:r w:rsidRPr="00F66AE5">
        <w:rPr>
          <w:rFonts w:ascii="Times New Roman" w:hAnsi="Times New Roman"/>
          <w:i/>
          <w:lang w:val="en-US"/>
        </w:rPr>
        <w:t>The Cutter Incident. How America’s First Polio Vaccine Led to the Growing Vaccine Crisis</w:t>
      </w:r>
      <w:r w:rsidRPr="00F66AE5">
        <w:rPr>
          <w:rFonts w:ascii="Times New Roman" w:hAnsi="Times New Roman"/>
          <w:lang w:val="en-US"/>
        </w:rPr>
        <w:t xml:space="preserve">, New Haven, Yale University Press, 2005. </w:t>
      </w:r>
    </w:p>
  </w:footnote>
  <w:footnote w:id="15">
    <w:p w14:paraId="0DA15D60" w14:textId="77777777" w:rsidR="00E42C1C" w:rsidRPr="00F66AE5" w:rsidRDefault="00E42C1C" w:rsidP="00D15D90">
      <w:pPr>
        <w:pStyle w:val="Notedebasdepage"/>
        <w:jc w:val="both"/>
        <w:rPr>
          <w:rFonts w:ascii="Times New Roman" w:hAnsi="Times New Roman"/>
        </w:rPr>
      </w:pPr>
      <w:r w:rsidRPr="00F66AE5">
        <w:rPr>
          <w:rStyle w:val="Appelnotedebasdep"/>
          <w:rFonts w:ascii="Times New Roman" w:hAnsi="Times New Roman"/>
        </w:rPr>
        <w:footnoteRef/>
      </w:r>
      <w:r w:rsidRPr="00F66AE5">
        <w:rPr>
          <w:rFonts w:ascii="Times New Roman" w:hAnsi="Times New Roman"/>
        </w:rPr>
        <w:t xml:space="preserve"> Colette Fillastre, Evelyne </w:t>
      </w:r>
      <w:proofErr w:type="spellStart"/>
      <w:r w:rsidRPr="00F66AE5">
        <w:rPr>
          <w:rFonts w:ascii="Times New Roman" w:hAnsi="Times New Roman"/>
        </w:rPr>
        <w:t>Orssaud</w:t>
      </w:r>
      <w:proofErr w:type="spellEnd"/>
      <w:r w:rsidRPr="00F66AE5">
        <w:rPr>
          <w:rFonts w:ascii="Times New Roman" w:hAnsi="Times New Roman"/>
        </w:rPr>
        <w:t xml:space="preserve"> et Suzanne </w:t>
      </w:r>
      <w:proofErr w:type="spellStart"/>
      <w:r w:rsidRPr="00F66AE5">
        <w:rPr>
          <w:rFonts w:ascii="Times New Roman" w:hAnsi="Times New Roman"/>
        </w:rPr>
        <w:t>Partouche</w:t>
      </w:r>
      <w:proofErr w:type="spellEnd"/>
      <w:r w:rsidRPr="00F66AE5">
        <w:rPr>
          <w:rFonts w:ascii="Times New Roman" w:hAnsi="Times New Roman"/>
        </w:rPr>
        <w:t xml:space="preserve">-George, « Enquêtes d’opinion pour un essai d’évaluation des raisons de l’insuffisance de la vaccination antituberculeuse en France », </w:t>
      </w:r>
      <w:r w:rsidRPr="00F66AE5">
        <w:rPr>
          <w:rFonts w:ascii="Times New Roman" w:hAnsi="Times New Roman"/>
          <w:i/>
        </w:rPr>
        <w:t>Revue de Tuberculose et de pneumologie</w:t>
      </w:r>
      <w:r w:rsidRPr="00F66AE5">
        <w:rPr>
          <w:rFonts w:ascii="Times New Roman" w:hAnsi="Times New Roman"/>
        </w:rPr>
        <w:t xml:space="preserve">, vol. 30, n° 11, 1966, p. 1149-1160. </w:t>
      </w:r>
    </w:p>
  </w:footnote>
  <w:footnote w:id="16">
    <w:p w14:paraId="0287ECD8" w14:textId="77777777" w:rsidR="00E42C1C" w:rsidRPr="00F66AE5" w:rsidRDefault="00E42C1C" w:rsidP="00D15D90">
      <w:pPr>
        <w:pStyle w:val="Notedebasdepage"/>
        <w:jc w:val="both"/>
        <w:rPr>
          <w:rFonts w:ascii="Times New Roman" w:hAnsi="Times New Roman"/>
        </w:rPr>
      </w:pPr>
      <w:r w:rsidRPr="00F66AE5">
        <w:rPr>
          <w:rStyle w:val="Appelnotedebasdep"/>
          <w:rFonts w:ascii="Times New Roman" w:hAnsi="Times New Roman"/>
        </w:rPr>
        <w:footnoteRef/>
      </w:r>
      <w:r w:rsidRPr="00F66AE5">
        <w:rPr>
          <w:rFonts w:ascii="Times New Roman" w:hAnsi="Times New Roman"/>
        </w:rPr>
        <w:t xml:space="preserve"> Claudine </w:t>
      </w:r>
      <w:proofErr w:type="spellStart"/>
      <w:r w:rsidRPr="00F66AE5">
        <w:rPr>
          <w:rFonts w:ascii="Times New Roman" w:hAnsi="Times New Roman"/>
        </w:rPr>
        <w:t>Marenco</w:t>
      </w:r>
      <w:proofErr w:type="spellEnd"/>
      <w:r w:rsidRPr="00F66AE5">
        <w:rPr>
          <w:rFonts w:ascii="Times New Roman" w:hAnsi="Times New Roman"/>
        </w:rPr>
        <w:t xml:space="preserve"> et </w:t>
      </w:r>
      <w:proofErr w:type="spellStart"/>
      <w:r w:rsidRPr="00F66AE5">
        <w:rPr>
          <w:rFonts w:ascii="Times New Roman" w:hAnsi="Times New Roman"/>
        </w:rPr>
        <w:t>Sélimir</w:t>
      </w:r>
      <w:proofErr w:type="spellEnd"/>
      <w:r w:rsidRPr="00F66AE5">
        <w:rPr>
          <w:rFonts w:ascii="Times New Roman" w:hAnsi="Times New Roman"/>
        </w:rPr>
        <w:t xml:space="preserve"> </w:t>
      </w:r>
      <w:proofErr w:type="spellStart"/>
      <w:r w:rsidRPr="00F66AE5">
        <w:rPr>
          <w:rFonts w:ascii="Times New Roman" w:hAnsi="Times New Roman"/>
        </w:rPr>
        <w:t>Govedarica</w:t>
      </w:r>
      <w:proofErr w:type="spellEnd"/>
      <w:r w:rsidRPr="00F66AE5">
        <w:rPr>
          <w:rFonts w:ascii="Times New Roman" w:hAnsi="Times New Roman"/>
        </w:rPr>
        <w:t xml:space="preserve">, </w:t>
      </w:r>
      <w:r w:rsidRPr="00F66AE5">
        <w:rPr>
          <w:rFonts w:ascii="Times New Roman" w:hAnsi="Times New Roman"/>
          <w:i/>
        </w:rPr>
        <w:t>La vaccination des enfants en France, 1880-1980</w:t>
      </w:r>
      <w:r w:rsidRPr="00F66AE5">
        <w:rPr>
          <w:rFonts w:ascii="Times New Roman" w:hAnsi="Times New Roman"/>
        </w:rPr>
        <w:t>, DGRST-CNRS, 1980 ; Colette Fillastre (</w:t>
      </w:r>
      <w:proofErr w:type="spellStart"/>
      <w:r w:rsidRPr="00F66AE5">
        <w:rPr>
          <w:rFonts w:ascii="Times New Roman" w:hAnsi="Times New Roman"/>
        </w:rPr>
        <w:t>dir</w:t>
      </w:r>
      <w:proofErr w:type="spellEnd"/>
      <w:r w:rsidRPr="00F66AE5">
        <w:rPr>
          <w:rFonts w:ascii="Times New Roman" w:hAnsi="Times New Roman"/>
        </w:rPr>
        <w:t xml:space="preserve">.), </w:t>
      </w:r>
      <w:r w:rsidRPr="00F66AE5">
        <w:rPr>
          <w:rFonts w:ascii="Times New Roman" w:hAnsi="Times New Roman"/>
          <w:i/>
        </w:rPr>
        <w:t>L’acceptabilité des vaccinations de l’enfant</w:t>
      </w:r>
      <w:r w:rsidRPr="00F66AE5">
        <w:rPr>
          <w:rFonts w:ascii="Times New Roman" w:hAnsi="Times New Roman"/>
        </w:rPr>
        <w:t xml:space="preserve">, Paris, Centre International de l’enfance, 1986. </w:t>
      </w:r>
    </w:p>
  </w:footnote>
  <w:footnote w:id="17">
    <w:p w14:paraId="3395BA17" w14:textId="4FFFF304" w:rsidR="00E42C1C" w:rsidRPr="00F66AE5" w:rsidRDefault="00E42C1C" w:rsidP="00D15D90">
      <w:pPr>
        <w:pStyle w:val="Notedebasdepage"/>
        <w:jc w:val="both"/>
        <w:rPr>
          <w:rFonts w:ascii="Times New Roman" w:hAnsi="Times New Roman"/>
        </w:rPr>
      </w:pPr>
      <w:r w:rsidRPr="00193898">
        <w:rPr>
          <w:rStyle w:val="Appelnotedebasdep"/>
          <w:rFonts w:ascii="Times New Roman" w:hAnsi="Times New Roman"/>
        </w:rPr>
        <w:footnoteRef/>
      </w:r>
      <w:r w:rsidRPr="00193898">
        <w:rPr>
          <w:rFonts w:ascii="Times New Roman" w:hAnsi="Times New Roman"/>
        </w:rPr>
        <w:t xml:space="preserve"> </w:t>
      </w:r>
      <w:r w:rsidRPr="00F66AE5">
        <w:rPr>
          <w:rFonts w:ascii="Times New Roman" w:hAnsi="Times New Roman"/>
        </w:rPr>
        <w:t xml:space="preserve">Fernand Delarue, « Accidents post-vaccinaux. Conférence de presse - 24 janvier 1977 », </w:t>
      </w:r>
      <w:r w:rsidRPr="00F66AE5">
        <w:rPr>
          <w:rFonts w:ascii="Times New Roman" w:hAnsi="Times New Roman"/>
          <w:i/>
          <w:iCs/>
        </w:rPr>
        <w:t xml:space="preserve">Santé, </w:t>
      </w:r>
      <w:proofErr w:type="spellStart"/>
      <w:r w:rsidRPr="00F66AE5">
        <w:rPr>
          <w:rFonts w:ascii="Times New Roman" w:hAnsi="Times New Roman"/>
          <w:i/>
          <w:iCs/>
        </w:rPr>
        <w:t>liberte</w:t>
      </w:r>
      <w:proofErr w:type="spellEnd"/>
      <w:r w:rsidRPr="00F66AE5">
        <w:rPr>
          <w:rFonts w:ascii="Times New Roman" w:hAnsi="Times New Roman"/>
          <w:i/>
          <w:iCs/>
        </w:rPr>
        <w:t>́ et vaccinations</w:t>
      </w:r>
      <w:r w:rsidRPr="00F66AE5">
        <w:rPr>
          <w:rFonts w:ascii="Times New Roman" w:hAnsi="Times New Roman"/>
        </w:rPr>
        <w:t>, 1977, n</w:t>
      </w:r>
      <w:r w:rsidRPr="00D76AAC">
        <w:rPr>
          <w:rFonts w:ascii="Times New Roman" w:hAnsi="Times New Roman"/>
          <w:vertAlign w:val="superscript"/>
        </w:rPr>
        <w:t>o</w:t>
      </w:r>
      <w:r w:rsidRPr="00F66AE5">
        <w:rPr>
          <w:rFonts w:ascii="Times New Roman" w:hAnsi="Times New Roman"/>
        </w:rPr>
        <w:t xml:space="preserve"> 53, p. 1</w:t>
      </w:r>
      <w:r w:rsidRPr="00F66AE5">
        <w:rPr>
          <w:rFonts w:ascii="Cambria Math" w:hAnsi="Cambria Math" w:cs="Cambria Math"/>
        </w:rPr>
        <w:t>‐</w:t>
      </w:r>
      <w:r w:rsidRPr="00F66AE5">
        <w:rPr>
          <w:rFonts w:ascii="Times New Roman" w:hAnsi="Times New Roman"/>
        </w:rPr>
        <w:t>5. Citation p.</w:t>
      </w:r>
      <w:r>
        <w:rPr>
          <w:rFonts w:ascii="Times New Roman" w:hAnsi="Times New Roman"/>
        </w:rPr>
        <w:t> </w:t>
      </w:r>
      <w:r w:rsidRPr="00F66AE5">
        <w:rPr>
          <w:rFonts w:ascii="Times New Roman" w:hAnsi="Times New Roman"/>
        </w:rPr>
        <w:t xml:space="preserve">1. </w:t>
      </w:r>
    </w:p>
    <w:p w14:paraId="1210D0DD" w14:textId="77777777" w:rsidR="00E42C1C" w:rsidRPr="00193898" w:rsidRDefault="00E42C1C" w:rsidP="00D15D90">
      <w:pPr>
        <w:pStyle w:val="Notedebasdepage"/>
        <w:jc w:val="both"/>
        <w:rPr>
          <w:rFonts w:ascii="Times New Roman" w:hAnsi="Times New Roman"/>
        </w:rPr>
      </w:pPr>
    </w:p>
  </w:footnote>
  <w:footnote w:id="18">
    <w:p w14:paraId="2A2963DC" w14:textId="32FE38EF" w:rsidR="00E42C1C" w:rsidRPr="00193898" w:rsidRDefault="00E42C1C" w:rsidP="00D15D90">
      <w:pPr>
        <w:pStyle w:val="Notedebasdepage"/>
        <w:jc w:val="both"/>
        <w:rPr>
          <w:rFonts w:ascii="Times New Roman" w:hAnsi="Times New Roman"/>
        </w:rPr>
      </w:pPr>
      <w:r w:rsidRPr="00193898">
        <w:rPr>
          <w:rStyle w:val="Appelnotedebasdep"/>
          <w:rFonts w:ascii="Times New Roman" w:hAnsi="Times New Roman"/>
        </w:rPr>
        <w:footnoteRef/>
      </w:r>
      <w:r w:rsidRPr="00193898">
        <w:rPr>
          <w:rFonts w:ascii="Times New Roman" w:hAnsi="Times New Roman"/>
        </w:rPr>
        <w:t xml:space="preserve"> « La couverture vaccinale en France : les enquêtes par sondage selon le modèle de l’OMS », Archives de l’OMS, I8/180/2EU</w:t>
      </w:r>
      <w:r>
        <w:rPr>
          <w:rFonts w:ascii="Times New Roman" w:hAnsi="Times New Roman"/>
        </w:rPr>
        <w:t>.</w:t>
      </w:r>
    </w:p>
  </w:footnote>
  <w:footnote w:id="19">
    <w:p w14:paraId="10E8C3E5" w14:textId="661899A3" w:rsidR="00E42C1C" w:rsidRPr="00F66AE5" w:rsidRDefault="00E42C1C" w:rsidP="00D15D90">
      <w:pPr>
        <w:pStyle w:val="Notedebasdepage"/>
        <w:jc w:val="both"/>
        <w:rPr>
          <w:rFonts w:ascii="Times New Roman" w:hAnsi="Times New Roman"/>
        </w:rPr>
      </w:pPr>
      <w:r w:rsidRPr="00F66AE5">
        <w:rPr>
          <w:rStyle w:val="Appelnotedebasdep"/>
          <w:rFonts w:ascii="Times New Roman" w:hAnsi="Times New Roman"/>
        </w:rPr>
        <w:footnoteRef/>
      </w:r>
      <w:r w:rsidRPr="00F66AE5">
        <w:rPr>
          <w:rFonts w:ascii="Times New Roman" w:hAnsi="Times New Roman"/>
        </w:rPr>
        <w:t xml:space="preserve"> Louis Portes, </w:t>
      </w:r>
      <w:r w:rsidRPr="00D76AAC">
        <w:rPr>
          <w:rFonts w:ascii="Times New Roman" w:hAnsi="Times New Roman"/>
          <w:i/>
          <w:iCs/>
        </w:rPr>
        <w:t>À</w:t>
      </w:r>
      <w:r w:rsidRPr="00F66AE5">
        <w:rPr>
          <w:rFonts w:ascii="Times New Roman" w:hAnsi="Times New Roman"/>
          <w:bCs/>
          <w:i/>
        </w:rPr>
        <w:t xml:space="preserve"> la recherche d’une éthique médicale</w:t>
      </w:r>
      <w:r w:rsidRPr="00F66AE5">
        <w:rPr>
          <w:rFonts w:ascii="Times New Roman" w:hAnsi="Times New Roman"/>
          <w:bCs/>
        </w:rPr>
        <w:t>, Paris, Masson 1954, p. 163.</w:t>
      </w:r>
    </w:p>
  </w:footnote>
  <w:footnote w:id="20">
    <w:p w14:paraId="4CAFDAEB" w14:textId="2F284F99" w:rsidR="00E42C1C" w:rsidRPr="00F66AE5" w:rsidRDefault="00E42C1C" w:rsidP="00D15D90">
      <w:pPr>
        <w:pStyle w:val="Notedebasdepage"/>
        <w:jc w:val="both"/>
        <w:rPr>
          <w:rFonts w:ascii="Times New Roman" w:hAnsi="Times New Roman"/>
        </w:rPr>
      </w:pPr>
      <w:r w:rsidRPr="00F66AE5">
        <w:rPr>
          <w:rStyle w:val="Appelnotedebasdep"/>
          <w:rFonts w:ascii="Times New Roman" w:hAnsi="Times New Roman"/>
        </w:rPr>
        <w:footnoteRef/>
      </w:r>
      <w:r w:rsidRPr="00F66AE5">
        <w:rPr>
          <w:rFonts w:ascii="Times New Roman" w:hAnsi="Times New Roman"/>
        </w:rPr>
        <w:t xml:space="preserve"> Grégoire </w:t>
      </w:r>
      <w:proofErr w:type="spellStart"/>
      <w:r w:rsidRPr="00F66AE5">
        <w:rPr>
          <w:rFonts w:ascii="Times New Roman" w:hAnsi="Times New Roman"/>
        </w:rPr>
        <w:t>Chamayou</w:t>
      </w:r>
      <w:proofErr w:type="spellEnd"/>
      <w:r w:rsidRPr="00F66AE5">
        <w:rPr>
          <w:rFonts w:ascii="Times New Roman" w:hAnsi="Times New Roman"/>
        </w:rPr>
        <w:t xml:space="preserve">, </w:t>
      </w:r>
      <w:r w:rsidRPr="00F66AE5">
        <w:rPr>
          <w:rFonts w:ascii="Times New Roman" w:hAnsi="Times New Roman"/>
          <w:i/>
        </w:rPr>
        <w:t>La société ingouvernable. Une généalogie du libéralisme autoritaire</w:t>
      </w:r>
      <w:r w:rsidRPr="00F66AE5">
        <w:rPr>
          <w:rFonts w:ascii="Times New Roman" w:hAnsi="Times New Roman"/>
        </w:rPr>
        <w:t xml:space="preserve">, La fabrique, 2018. </w:t>
      </w:r>
    </w:p>
  </w:footnote>
  <w:footnote w:id="21">
    <w:p w14:paraId="116E4217" w14:textId="77777777" w:rsidR="00E42C1C" w:rsidRPr="00F66AE5" w:rsidRDefault="00E42C1C" w:rsidP="00D15D90">
      <w:pPr>
        <w:pStyle w:val="Notedebasdepage"/>
        <w:jc w:val="both"/>
        <w:rPr>
          <w:rFonts w:ascii="Times New Roman" w:hAnsi="Times New Roman"/>
        </w:rPr>
      </w:pPr>
      <w:r w:rsidRPr="00F66AE5">
        <w:rPr>
          <w:rStyle w:val="Appelnotedebasdep"/>
          <w:rFonts w:ascii="Times New Roman" w:hAnsi="Times New Roman"/>
        </w:rPr>
        <w:footnoteRef/>
      </w:r>
      <w:r w:rsidRPr="00F66AE5">
        <w:rPr>
          <w:rFonts w:ascii="Times New Roman" w:hAnsi="Times New Roman"/>
        </w:rPr>
        <w:t xml:space="preserve"> </w:t>
      </w:r>
      <w:proofErr w:type="spellStart"/>
      <w:r w:rsidRPr="00F66AE5">
        <w:rPr>
          <w:rFonts w:ascii="Times New Roman" w:hAnsi="Times New Roman"/>
        </w:rPr>
        <w:t>Fabia</w:t>
      </w:r>
      <w:proofErr w:type="spellEnd"/>
      <w:r w:rsidRPr="00F66AE5">
        <w:rPr>
          <w:rFonts w:ascii="Times New Roman" w:hAnsi="Times New Roman"/>
        </w:rPr>
        <w:t xml:space="preserve"> Dib et Gwenn </w:t>
      </w:r>
      <w:proofErr w:type="spellStart"/>
      <w:r w:rsidRPr="00F66AE5">
        <w:rPr>
          <w:rFonts w:ascii="Times New Roman" w:hAnsi="Times New Roman"/>
        </w:rPr>
        <w:t>Menvielle</w:t>
      </w:r>
      <w:proofErr w:type="spellEnd"/>
      <w:r w:rsidRPr="00F66AE5">
        <w:rPr>
          <w:rFonts w:ascii="Times New Roman" w:hAnsi="Times New Roman"/>
        </w:rPr>
        <w:t xml:space="preserve">, « Inégalités sociales de santé et épidémiologie des cancers causés par le HPV en France », </w:t>
      </w:r>
      <w:r w:rsidRPr="00F66AE5">
        <w:rPr>
          <w:rFonts w:ascii="Times New Roman" w:hAnsi="Times New Roman"/>
          <w:i/>
        </w:rPr>
        <w:t>Questions de santé publique</w:t>
      </w:r>
      <w:r w:rsidRPr="00F66AE5">
        <w:rPr>
          <w:rFonts w:ascii="Times New Roman" w:hAnsi="Times New Roman"/>
        </w:rPr>
        <w:t xml:space="preserve">, n°38, 2019, p. 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21804" w14:textId="77777777" w:rsidR="00E42C1C" w:rsidRDefault="00E42C1C" w:rsidP="007A1268">
    <w:pPr>
      <w:pStyle w:val="En-tte"/>
      <w:jc w:val="both"/>
    </w:pPr>
    <w:r w:rsidRPr="007A1268">
      <w:rPr>
        <w:noProof/>
      </w:rPr>
      <w:drawing>
        <wp:inline distT="0" distB="0" distL="0" distR="0" wp14:anchorId="5BD76095" wp14:editId="70A11EF9">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A449F"/>
    <w:rsid w:val="000B0DF2"/>
    <w:rsid w:val="000B2407"/>
    <w:rsid w:val="000C3EA2"/>
    <w:rsid w:val="000E1207"/>
    <w:rsid w:val="00100FDE"/>
    <w:rsid w:val="001264AC"/>
    <w:rsid w:val="00167486"/>
    <w:rsid w:val="001A60CD"/>
    <w:rsid w:val="001B22FA"/>
    <w:rsid w:val="001C0661"/>
    <w:rsid w:val="001E233F"/>
    <w:rsid w:val="001E4C4E"/>
    <w:rsid w:val="001F2932"/>
    <w:rsid w:val="00235E33"/>
    <w:rsid w:val="0028766C"/>
    <w:rsid w:val="002D477E"/>
    <w:rsid w:val="002F1A3D"/>
    <w:rsid w:val="003253C2"/>
    <w:rsid w:val="00351ACE"/>
    <w:rsid w:val="003616E4"/>
    <w:rsid w:val="00370594"/>
    <w:rsid w:val="00377870"/>
    <w:rsid w:val="003A3728"/>
    <w:rsid w:val="003B1DDC"/>
    <w:rsid w:val="003B3E7A"/>
    <w:rsid w:val="003C3FC8"/>
    <w:rsid w:val="003C59A5"/>
    <w:rsid w:val="003E4A0E"/>
    <w:rsid w:val="00411810"/>
    <w:rsid w:val="00424A7A"/>
    <w:rsid w:val="00427A80"/>
    <w:rsid w:val="00437286"/>
    <w:rsid w:val="00440B6F"/>
    <w:rsid w:val="00443066"/>
    <w:rsid w:val="00463500"/>
    <w:rsid w:val="00472187"/>
    <w:rsid w:val="00481151"/>
    <w:rsid w:val="00481F8F"/>
    <w:rsid w:val="004D6529"/>
    <w:rsid w:val="004F57E5"/>
    <w:rsid w:val="005069BE"/>
    <w:rsid w:val="005A77EA"/>
    <w:rsid w:val="005C5829"/>
    <w:rsid w:val="005E4983"/>
    <w:rsid w:val="005E675A"/>
    <w:rsid w:val="00604921"/>
    <w:rsid w:val="00617961"/>
    <w:rsid w:val="00632336"/>
    <w:rsid w:val="0063372A"/>
    <w:rsid w:val="006432B1"/>
    <w:rsid w:val="00645703"/>
    <w:rsid w:val="00681218"/>
    <w:rsid w:val="00685886"/>
    <w:rsid w:val="00697643"/>
    <w:rsid w:val="006A41F4"/>
    <w:rsid w:val="006D75BC"/>
    <w:rsid w:val="006E7A74"/>
    <w:rsid w:val="0072515D"/>
    <w:rsid w:val="0073080B"/>
    <w:rsid w:val="00740D4F"/>
    <w:rsid w:val="007701E0"/>
    <w:rsid w:val="007922AF"/>
    <w:rsid w:val="00792FBC"/>
    <w:rsid w:val="007A1268"/>
    <w:rsid w:val="007B5D97"/>
    <w:rsid w:val="007E729E"/>
    <w:rsid w:val="00861F45"/>
    <w:rsid w:val="00865FAE"/>
    <w:rsid w:val="008B1967"/>
    <w:rsid w:val="008C7D8A"/>
    <w:rsid w:val="008D3DF4"/>
    <w:rsid w:val="008D57AB"/>
    <w:rsid w:val="008E46DD"/>
    <w:rsid w:val="008E5CFF"/>
    <w:rsid w:val="009135D2"/>
    <w:rsid w:val="009243CE"/>
    <w:rsid w:val="009403BD"/>
    <w:rsid w:val="00953330"/>
    <w:rsid w:val="00961394"/>
    <w:rsid w:val="0098253B"/>
    <w:rsid w:val="009C266B"/>
    <w:rsid w:val="009F57ED"/>
    <w:rsid w:val="00A55C33"/>
    <w:rsid w:val="00A8559A"/>
    <w:rsid w:val="00AC217A"/>
    <w:rsid w:val="00AD258A"/>
    <w:rsid w:val="00AE4248"/>
    <w:rsid w:val="00AF63A5"/>
    <w:rsid w:val="00B05675"/>
    <w:rsid w:val="00B24251"/>
    <w:rsid w:val="00B83048"/>
    <w:rsid w:val="00B90D39"/>
    <w:rsid w:val="00BB0030"/>
    <w:rsid w:val="00BB1A65"/>
    <w:rsid w:val="00BC76CE"/>
    <w:rsid w:val="00BF0C14"/>
    <w:rsid w:val="00C35861"/>
    <w:rsid w:val="00C70344"/>
    <w:rsid w:val="00C71D32"/>
    <w:rsid w:val="00C92AF8"/>
    <w:rsid w:val="00CA54CB"/>
    <w:rsid w:val="00CA6A71"/>
    <w:rsid w:val="00CD2835"/>
    <w:rsid w:val="00CE3519"/>
    <w:rsid w:val="00CE415E"/>
    <w:rsid w:val="00D06258"/>
    <w:rsid w:val="00D128B5"/>
    <w:rsid w:val="00D15D90"/>
    <w:rsid w:val="00D56B3F"/>
    <w:rsid w:val="00D7284C"/>
    <w:rsid w:val="00D76AAC"/>
    <w:rsid w:val="00D81B12"/>
    <w:rsid w:val="00D85E7E"/>
    <w:rsid w:val="00D85FB6"/>
    <w:rsid w:val="00D9144D"/>
    <w:rsid w:val="00D960E5"/>
    <w:rsid w:val="00DA1B1B"/>
    <w:rsid w:val="00DA63DC"/>
    <w:rsid w:val="00DD1322"/>
    <w:rsid w:val="00DD6D90"/>
    <w:rsid w:val="00DF040B"/>
    <w:rsid w:val="00DF1D51"/>
    <w:rsid w:val="00DF54FA"/>
    <w:rsid w:val="00E213B0"/>
    <w:rsid w:val="00E23705"/>
    <w:rsid w:val="00E248D4"/>
    <w:rsid w:val="00E42C1C"/>
    <w:rsid w:val="00E623AC"/>
    <w:rsid w:val="00E64949"/>
    <w:rsid w:val="00E749EA"/>
    <w:rsid w:val="00E75C6B"/>
    <w:rsid w:val="00E82115"/>
    <w:rsid w:val="00E957F2"/>
    <w:rsid w:val="00ED5C35"/>
    <w:rsid w:val="00EE1383"/>
    <w:rsid w:val="00EF0B09"/>
    <w:rsid w:val="00F0353B"/>
    <w:rsid w:val="00F049B7"/>
    <w:rsid w:val="00F43C5F"/>
    <w:rsid w:val="00F607AA"/>
    <w:rsid w:val="00F70913"/>
    <w:rsid w:val="00FB00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081D9"/>
  <w15:docId w15:val="{0F8A6B2A-A84D-174A-9401-20EE3BC1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paragraph" w:styleId="Titre4">
    <w:name w:val="heading 4"/>
    <w:basedOn w:val="Normal"/>
    <w:link w:val="Titre4Car"/>
    <w:uiPriority w:val="9"/>
    <w:qFormat/>
    <w:rsid w:val="008D3DF4"/>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w:hAnsi="Helvetica" w:cs="Arial Unicode MS"/>
      <w:color w:val="000000"/>
      <w:sz w:val="24"/>
      <w:szCs w:val="24"/>
    </w:rPr>
  </w:style>
  <w:style w:type="paragraph" w:styleId="Pieddepage">
    <w:name w:val="footer"/>
    <w:link w:val="PieddepageCar"/>
    <w:uiPriority w:val="99"/>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auteur">
    <w:name w:val="auteur"/>
    <w:basedOn w:val="Policepardfaut"/>
    <w:rsid w:val="00645703"/>
  </w:style>
  <w:style w:type="character" w:styleId="Marquedecommentaire">
    <w:name w:val="annotation reference"/>
    <w:basedOn w:val="Policepardfaut"/>
    <w:uiPriority w:val="99"/>
    <w:semiHidden/>
    <w:unhideWhenUsed/>
    <w:rsid w:val="00645703"/>
    <w:rPr>
      <w:sz w:val="16"/>
      <w:szCs w:val="16"/>
    </w:rPr>
  </w:style>
  <w:style w:type="paragraph" w:styleId="Sansinterligne">
    <w:name w:val="No Spacing"/>
    <w:uiPriority w:val="1"/>
    <w:qFormat/>
    <w:rsid w:val="008D3DF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4Car">
    <w:name w:val="Titre 4 Car"/>
    <w:basedOn w:val="Policepardfaut"/>
    <w:link w:val="Titre4"/>
    <w:uiPriority w:val="9"/>
    <w:rsid w:val="008D3DF4"/>
    <w:rPr>
      <w:rFonts w:eastAsia="Times New Roman"/>
      <w:b/>
      <w:bCs/>
      <w:sz w:val="24"/>
      <w:szCs w:val="24"/>
      <w:bdr w:val="none" w:sz="0" w:space="0" w:color="auto"/>
    </w:rPr>
  </w:style>
  <w:style w:type="paragraph" w:customStyle="1" w:styleId="Bibliographie1">
    <w:name w:val="Bibliographie1"/>
    <w:basedOn w:val="Normal"/>
    <w:rsid w:val="000B0DF2"/>
    <w:pPr>
      <w:spacing w:after="240"/>
      <w:jc w:val="both"/>
    </w:pPr>
    <w:rPr>
      <w:rFonts w:ascii="Times New Roman" w:eastAsia="MS Mincho" w:hAnsi="Times New Roman" w:cs="Times New Roman"/>
      <w:lang w:eastAsia="fr-FR"/>
    </w:rPr>
  </w:style>
  <w:style w:type="paragraph" w:styleId="Commentaire">
    <w:name w:val="annotation text"/>
    <w:basedOn w:val="Normal"/>
    <w:link w:val="CommentaireCar"/>
    <w:uiPriority w:val="99"/>
    <w:semiHidden/>
    <w:unhideWhenUsed/>
    <w:rsid w:val="000B0DF2"/>
    <w:pPr>
      <w:jc w:val="both"/>
    </w:pPr>
    <w:rPr>
      <w:rFonts w:ascii="Times New Roman" w:eastAsia="MS Mincho" w:hAnsi="Times New Roman" w:cs="Times New Roman"/>
      <w:sz w:val="20"/>
      <w:szCs w:val="20"/>
      <w:lang w:eastAsia="fr-FR"/>
    </w:rPr>
  </w:style>
  <w:style w:type="character" w:customStyle="1" w:styleId="CommentaireCar">
    <w:name w:val="Commentaire Car"/>
    <w:basedOn w:val="Policepardfaut"/>
    <w:link w:val="Commentaire"/>
    <w:uiPriority w:val="99"/>
    <w:semiHidden/>
    <w:rsid w:val="000B0DF2"/>
    <w:rPr>
      <w:rFonts w:eastAsia="MS Mincho"/>
      <w:bdr w:val="none" w:sz="0" w:space="0" w:color="auto"/>
    </w:rPr>
  </w:style>
  <w:style w:type="paragraph" w:styleId="Textedebulles">
    <w:name w:val="Balloon Text"/>
    <w:basedOn w:val="Normal"/>
    <w:link w:val="TextedebullesCar"/>
    <w:uiPriority w:val="99"/>
    <w:semiHidden/>
    <w:unhideWhenUsed/>
    <w:rsid w:val="000B0DF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B0DF2"/>
    <w:rPr>
      <w:rFonts w:eastAsiaTheme="minorHAnsi"/>
      <w:sz w:val="18"/>
      <w:szCs w:val="18"/>
      <w:bdr w:val="none" w:sz="0" w:space="0" w:color="auto"/>
      <w:lang w:eastAsia="en-US"/>
    </w:rPr>
  </w:style>
  <w:style w:type="paragraph" w:styleId="Objetducommentaire">
    <w:name w:val="annotation subject"/>
    <w:basedOn w:val="Commentaire"/>
    <w:next w:val="Commentaire"/>
    <w:link w:val="ObjetducommentaireCar"/>
    <w:uiPriority w:val="99"/>
    <w:semiHidden/>
    <w:unhideWhenUsed/>
    <w:rsid w:val="00D15D90"/>
    <w:pPr>
      <w:jc w:val="left"/>
    </w:pPr>
    <w:rPr>
      <w:rFonts w:asciiTheme="minorHAnsi" w:eastAsiaTheme="minorEastAsia"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D15D90"/>
    <w:rPr>
      <w:rFonts w:asciiTheme="minorHAnsi" w:eastAsiaTheme="minorEastAsia" w:hAnsiTheme="minorHAnsi" w:cstheme="minorBidi"/>
      <w:b/>
      <w:bCs/>
      <w:bdr w:val="none" w:sz="0" w:space="0" w:color="auto"/>
      <w:lang w:eastAsia="en-US"/>
    </w:rPr>
  </w:style>
  <w:style w:type="character" w:customStyle="1" w:styleId="En-tteCar">
    <w:name w:val="En-tête Car"/>
    <w:basedOn w:val="Policepardfaut"/>
    <w:link w:val="En-tte"/>
    <w:uiPriority w:val="99"/>
    <w:rsid w:val="00D15D90"/>
    <w:rPr>
      <w:rFonts w:ascii="Helvetica" w:hAnsi="Helvetica" w:cs="Arial Unicode MS"/>
      <w:color w:val="000000"/>
      <w:sz w:val="24"/>
      <w:szCs w:val="24"/>
    </w:rPr>
  </w:style>
  <w:style w:type="character" w:customStyle="1" w:styleId="PieddepageCar">
    <w:name w:val="Pied de page Car"/>
    <w:basedOn w:val="Policepardfaut"/>
    <w:link w:val="Pieddepage"/>
    <w:uiPriority w:val="99"/>
    <w:rsid w:val="00D15D90"/>
    <w:rPr>
      <w:rFonts w:ascii="Calibri" w:eastAsia="Calibri" w:hAnsi="Calibri" w:cs="Calibri"/>
      <w:color w:val="000000"/>
      <w:sz w:val="22"/>
      <w:szCs w:val="22"/>
      <w:u w:color="000000"/>
    </w:rPr>
  </w:style>
  <w:style w:type="paragraph" w:styleId="Rvision">
    <w:name w:val="Revision"/>
    <w:hidden/>
    <w:uiPriority w:val="99"/>
    <w:semiHidden/>
    <w:rsid w:val="00D15D9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character" w:styleId="Numrodepage">
    <w:name w:val="page number"/>
    <w:basedOn w:val="Policepardfaut"/>
    <w:uiPriority w:val="99"/>
    <w:semiHidden/>
    <w:unhideWhenUsed/>
    <w:rsid w:val="00D15D90"/>
  </w:style>
  <w:style w:type="paragraph" w:styleId="NormalWeb">
    <w:name w:val="Normal (Web)"/>
    <w:basedOn w:val="Normal"/>
    <w:uiPriority w:val="99"/>
    <w:semiHidden/>
    <w:unhideWhenUsed/>
    <w:rsid w:val="00D15D90"/>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22432514">
      <w:bodyDiv w:val="1"/>
      <w:marLeft w:val="0"/>
      <w:marRight w:val="0"/>
      <w:marTop w:val="0"/>
      <w:marBottom w:val="0"/>
      <w:divBdr>
        <w:top w:val="none" w:sz="0" w:space="0" w:color="auto"/>
        <w:left w:val="none" w:sz="0" w:space="0" w:color="auto"/>
        <w:bottom w:val="none" w:sz="0" w:space="0" w:color="auto"/>
        <w:right w:val="none" w:sz="0" w:space="0" w:color="auto"/>
      </w:divBdr>
      <w:divsChild>
        <w:div w:id="1935819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057496">
              <w:marLeft w:val="0"/>
              <w:marRight w:val="0"/>
              <w:marTop w:val="0"/>
              <w:marBottom w:val="0"/>
              <w:divBdr>
                <w:top w:val="none" w:sz="0" w:space="0" w:color="auto"/>
                <w:left w:val="none" w:sz="0" w:space="0" w:color="auto"/>
                <w:bottom w:val="none" w:sz="0" w:space="0" w:color="auto"/>
                <w:right w:val="none" w:sz="0" w:space="0" w:color="auto"/>
              </w:divBdr>
              <w:divsChild>
                <w:div w:id="1644650660">
                  <w:marLeft w:val="0"/>
                  <w:marRight w:val="0"/>
                  <w:marTop w:val="0"/>
                  <w:marBottom w:val="0"/>
                  <w:divBdr>
                    <w:top w:val="none" w:sz="0" w:space="0" w:color="auto"/>
                    <w:left w:val="none" w:sz="0" w:space="0" w:color="auto"/>
                    <w:bottom w:val="none" w:sz="0" w:space="0" w:color="auto"/>
                    <w:right w:val="none" w:sz="0" w:space="0" w:color="auto"/>
                  </w:divBdr>
                  <w:divsChild>
                    <w:div w:id="14880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75487784">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5861712">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09680412">
      <w:bodyDiv w:val="1"/>
      <w:marLeft w:val="0"/>
      <w:marRight w:val="0"/>
      <w:marTop w:val="0"/>
      <w:marBottom w:val="0"/>
      <w:divBdr>
        <w:top w:val="none" w:sz="0" w:space="0" w:color="auto"/>
        <w:left w:val="none" w:sz="0" w:space="0" w:color="auto"/>
        <w:bottom w:val="none" w:sz="0" w:space="0" w:color="auto"/>
        <w:right w:val="none" w:sz="0" w:space="0" w:color="auto"/>
      </w:divBdr>
      <w:divsChild>
        <w:div w:id="178855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672712">
              <w:marLeft w:val="0"/>
              <w:marRight w:val="0"/>
              <w:marTop w:val="0"/>
              <w:marBottom w:val="0"/>
              <w:divBdr>
                <w:top w:val="none" w:sz="0" w:space="0" w:color="auto"/>
                <w:left w:val="none" w:sz="0" w:space="0" w:color="auto"/>
                <w:bottom w:val="none" w:sz="0" w:space="0" w:color="auto"/>
                <w:right w:val="none" w:sz="0" w:space="0" w:color="auto"/>
              </w:divBdr>
              <w:divsChild>
                <w:div w:id="1739012072">
                  <w:marLeft w:val="0"/>
                  <w:marRight w:val="0"/>
                  <w:marTop w:val="0"/>
                  <w:marBottom w:val="0"/>
                  <w:divBdr>
                    <w:top w:val="none" w:sz="0" w:space="0" w:color="auto"/>
                    <w:left w:val="none" w:sz="0" w:space="0" w:color="auto"/>
                    <w:bottom w:val="none" w:sz="0" w:space="0" w:color="auto"/>
                    <w:right w:val="none" w:sz="0" w:space="0" w:color="auto"/>
                  </w:divBdr>
                  <w:divsChild>
                    <w:div w:id="4402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heconversation.com/en-afrique-la-notion-dhesitation-vaccinale-est-un-modele-voyageur-1580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C31382-1405-B849-AF16-71CC6DA0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Users\juliette\Library\Group Containers\UBF8T346G9.Office\User Content.localized\Templates.localized\Modèle VDI.dotx</Template>
  <TotalTime>5</TotalTime>
  <Pages>12</Pages>
  <Words>4607</Words>
  <Characters>25343</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Utilisateur Microsoft Office</cp:lastModifiedBy>
  <cp:revision>4</cp:revision>
  <dcterms:created xsi:type="dcterms:W3CDTF">2021-04-26T14:53:00Z</dcterms:created>
  <dcterms:modified xsi:type="dcterms:W3CDTF">2021-05-03T18:39:00Z</dcterms:modified>
</cp:coreProperties>
</file>