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3BAE" w14:textId="77777777" w:rsidR="0063372A" w:rsidRDefault="0063372A" w:rsidP="0063372A">
      <w:pPr>
        <w:outlineLvl w:val="0"/>
        <w:rPr>
          <w:rFonts w:ascii="Times" w:hAnsi="Times"/>
        </w:rPr>
      </w:pPr>
    </w:p>
    <w:p w14:paraId="58C73ED4" w14:textId="3A0407F2" w:rsidR="00E75C6B" w:rsidRPr="008D3DF4" w:rsidRDefault="00D147C4" w:rsidP="00E75C6B">
      <w:pPr>
        <w:pStyle w:val="VDITitre"/>
      </w:pPr>
      <w:r>
        <w:t>Le</w:t>
      </w:r>
      <w:r w:rsidR="00E359B2">
        <w:t xml:space="preserve"> </w:t>
      </w:r>
      <w:r w:rsidR="005A2DBF">
        <w:t>doux commerce des armes</w:t>
      </w:r>
      <w:r w:rsidR="00E359B2">
        <w:t> </w:t>
      </w:r>
      <w:r>
        <w:t>apaise</w:t>
      </w:r>
      <w:r w:rsidR="00AC518E">
        <w:t>-t</w:t>
      </w:r>
      <w:r>
        <w:t>-il les conflits</w:t>
      </w:r>
      <w:r w:rsidR="00E359B2">
        <w:t xml:space="preserve">? </w:t>
      </w:r>
    </w:p>
    <w:p w14:paraId="76818B62" w14:textId="1874C569" w:rsidR="005A2DBF" w:rsidRPr="008D3DF4" w:rsidRDefault="008B1967" w:rsidP="005A2DBF">
      <w:pPr>
        <w:pStyle w:val="VDIAuteur"/>
      </w:pPr>
      <w:bookmarkStart w:id="0" w:name="_GoBack"/>
      <w:bookmarkEnd w:id="0"/>
      <w:proofErr w:type="gramStart"/>
      <w:r w:rsidRPr="008D3DF4">
        <w:t>p</w:t>
      </w:r>
      <w:r w:rsidR="00E75C6B" w:rsidRPr="008D3DF4">
        <w:t>ar</w:t>
      </w:r>
      <w:proofErr w:type="gramEnd"/>
      <w:r w:rsidR="00E75C6B" w:rsidRPr="008D3DF4">
        <w:t xml:space="preserve"> </w:t>
      </w:r>
      <w:r w:rsidR="005A2DBF" w:rsidRPr="005A2DBF">
        <w:t>Lucie Béraud-</w:t>
      </w:r>
      <w:proofErr w:type="spellStart"/>
      <w:r w:rsidR="005A2DBF" w:rsidRPr="005A2DBF">
        <w:t>Sudreau</w:t>
      </w:r>
      <w:proofErr w:type="spellEnd"/>
      <w:r w:rsidR="005A2DBF" w:rsidRPr="005A2DBF">
        <w:t xml:space="preserve"> &amp; Catherine </w:t>
      </w:r>
      <w:proofErr w:type="spellStart"/>
      <w:r w:rsidR="005A2DBF" w:rsidRPr="005A2DBF">
        <w:t>Hoeffler</w:t>
      </w:r>
      <w:proofErr w:type="spellEnd"/>
    </w:p>
    <w:p w14:paraId="42C36FF9" w14:textId="63715646" w:rsidR="005A2DBF" w:rsidRPr="006C7C86" w:rsidRDefault="006C7C86" w:rsidP="005A2DBF">
      <w:pPr>
        <w:pStyle w:val="VDIChapo"/>
        <w:rPr>
          <w:lang w:val="fr-FR"/>
        </w:rPr>
      </w:pPr>
      <w:r>
        <w:t xml:space="preserve">Le commerce des </w:t>
      </w:r>
      <w:proofErr w:type="spellStart"/>
      <w:r>
        <w:t>armes</w:t>
      </w:r>
      <w:proofErr w:type="spellEnd"/>
      <w:r>
        <w:t xml:space="preserve"> </w:t>
      </w:r>
      <w:proofErr w:type="spellStart"/>
      <w:r>
        <w:t>constitue</w:t>
      </w:r>
      <w:proofErr w:type="spellEnd"/>
      <w:r>
        <w:t xml:space="preserve"> </w:t>
      </w:r>
      <w:proofErr w:type="spellStart"/>
      <w:r>
        <w:t>un</w:t>
      </w:r>
      <w:proofErr w:type="spellEnd"/>
      <w:r>
        <w:t xml:space="preserve"> facteur de </w:t>
      </w:r>
      <w:proofErr w:type="spellStart"/>
      <w:r>
        <w:t>conflictualité</w:t>
      </w:r>
      <w:proofErr w:type="spellEnd"/>
      <w:r>
        <w:t xml:space="preserve">. En forte </w:t>
      </w:r>
      <w:proofErr w:type="spellStart"/>
      <w:r>
        <w:t>augmentation</w:t>
      </w:r>
      <w:proofErr w:type="spellEnd"/>
      <w:r>
        <w:t xml:space="preserve"> </w:t>
      </w:r>
      <w:proofErr w:type="spellStart"/>
      <w:r>
        <w:t>depuis</w:t>
      </w:r>
      <w:proofErr w:type="spellEnd"/>
      <w:r>
        <w:t xml:space="preserve"> </w:t>
      </w:r>
      <w:proofErr w:type="spellStart"/>
      <w:r>
        <w:t>plusieurs</w:t>
      </w:r>
      <w:proofErr w:type="spellEnd"/>
      <w:r>
        <w:t xml:space="preserve"> </w:t>
      </w:r>
      <w:proofErr w:type="spellStart"/>
      <w:r>
        <w:t>années</w:t>
      </w:r>
      <w:proofErr w:type="spellEnd"/>
      <w:r>
        <w:t xml:space="preserve">, </w:t>
      </w:r>
      <w:proofErr w:type="spellStart"/>
      <w:r>
        <w:t>il</w:t>
      </w:r>
      <w:proofErr w:type="spellEnd"/>
      <w:r>
        <w:t xml:space="preserve"> </w:t>
      </w:r>
      <w:proofErr w:type="spellStart"/>
      <w:r>
        <w:t>s’avère</w:t>
      </w:r>
      <w:proofErr w:type="spellEnd"/>
      <w:r>
        <w:t xml:space="preserve"> </w:t>
      </w:r>
      <w:proofErr w:type="spellStart"/>
      <w:r>
        <w:t>difficile</w:t>
      </w:r>
      <w:proofErr w:type="spellEnd"/>
      <w:r>
        <w:t xml:space="preserve"> à </w:t>
      </w:r>
      <w:proofErr w:type="spellStart"/>
      <w:r>
        <w:t>réguler</w:t>
      </w:r>
      <w:proofErr w:type="spellEnd"/>
      <w:r>
        <w:t xml:space="preserve"> au niveau </w:t>
      </w:r>
      <w:proofErr w:type="spellStart"/>
      <w:r>
        <w:t>mondial</w:t>
      </w:r>
      <w:proofErr w:type="spellEnd"/>
      <w:r>
        <w:t xml:space="preserve">, </w:t>
      </w:r>
      <w:proofErr w:type="spellStart"/>
      <w:r>
        <w:t>tant</w:t>
      </w:r>
      <w:proofErr w:type="spellEnd"/>
      <w:r>
        <w:t xml:space="preserve"> en raison des </w:t>
      </w:r>
      <w:proofErr w:type="spellStart"/>
      <w:r>
        <w:t>intérêts</w:t>
      </w:r>
      <w:proofErr w:type="spellEnd"/>
      <w:r>
        <w:t xml:space="preserve"> de </w:t>
      </w:r>
      <w:proofErr w:type="spellStart"/>
      <w:r>
        <w:t>certains</w:t>
      </w:r>
      <w:proofErr w:type="spellEnd"/>
      <w:r>
        <w:t xml:space="preserve"> </w:t>
      </w:r>
      <w:proofErr w:type="spellStart"/>
      <w:r w:rsidR="00A87BF7">
        <w:t>É</w:t>
      </w:r>
      <w:r>
        <w:t>tats</w:t>
      </w:r>
      <w:proofErr w:type="spellEnd"/>
      <w:r>
        <w:t xml:space="preserve"> que de la </w:t>
      </w:r>
      <w:proofErr w:type="spellStart"/>
      <w:r>
        <w:t>multiplication</w:t>
      </w:r>
      <w:proofErr w:type="spellEnd"/>
      <w:r>
        <w:t xml:space="preserve"> des </w:t>
      </w:r>
      <w:proofErr w:type="spellStart"/>
      <w:r>
        <w:t>pôles</w:t>
      </w:r>
      <w:proofErr w:type="spellEnd"/>
      <w:r>
        <w:t xml:space="preserve"> de </w:t>
      </w:r>
      <w:proofErr w:type="spellStart"/>
      <w:r>
        <w:t>production</w:t>
      </w:r>
      <w:proofErr w:type="spellEnd"/>
      <w:r>
        <w:t xml:space="preserve"> dans </w:t>
      </w:r>
      <w:proofErr w:type="spellStart"/>
      <w:r>
        <w:t>le</w:t>
      </w:r>
      <w:proofErr w:type="spellEnd"/>
      <w:r>
        <w:t xml:space="preserve"> monde. </w:t>
      </w:r>
    </w:p>
    <w:p w14:paraId="5EAB7966" w14:textId="7B85A5E1" w:rsidR="005A2DBF" w:rsidRPr="00A2741E" w:rsidRDefault="005A2DBF" w:rsidP="006841F9">
      <w:pPr>
        <w:pStyle w:val="Corps"/>
      </w:pPr>
      <w:r>
        <w:t>G</w:t>
      </w:r>
      <w:r w:rsidRPr="00A002AA">
        <w:t xml:space="preserve">uerres et conflits n’ont pas cessé pendant la pandémie. La guerre dans le </w:t>
      </w:r>
      <w:proofErr w:type="spellStart"/>
      <w:r w:rsidRPr="00A002AA">
        <w:t>Nagorno</w:t>
      </w:r>
      <w:proofErr w:type="spellEnd"/>
      <w:r w:rsidRPr="00A002AA">
        <w:t xml:space="preserve">-Karabakh au printemps, ou l’explosion de la crise du Tigré en Éthiopie en novembre 2020, sont de sombres rappels de la persistance des </w:t>
      </w:r>
      <w:r>
        <w:t>violences armées</w:t>
      </w:r>
      <w:r w:rsidRPr="00A002AA">
        <w:t xml:space="preserve"> dans le monde. Une large littérature scientifique s’est intéressée aux diverses causes des guerres et de la violence politique. L</w:t>
      </w:r>
      <w:r w:rsidRPr="00A2741E">
        <w:t xml:space="preserve">e commerce </w:t>
      </w:r>
      <w:r w:rsidRPr="00A002AA">
        <w:t>des armes constitue l’une d’entre elles</w:t>
      </w:r>
      <w:r w:rsidR="000E3074">
        <w:t> </w:t>
      </w:r>
      <w:r w:rsidRPr="00A002AA">
        <w:t>: si certaines nuances doivent être émises, de nombreux résultats scientifiques attestent de l’impact négatif des transferts d’armes sur la paix et la sécurité des populations</w:t>
      </w:r>
      <w:r w:rsidRPr="00A2741E">
        <w:t xml:space="preserve">. Les risques liés au commerce des armes sont d’ailleurs </w:t>
      </w:r>
      <w:r w:rsidRPr="00A002AA">
        <w:t>reconnu</w:t>
      </w:r>
      <w:r w:rsidRPr="00A2741E">
        <w:t>s</w:t>
      </w:r>
      <w:r w:rsidRPr="00A002AA">
        <w:t xml:space="preserve"> de manière croissante par les gouvernements</w:t>
      </w:r>
      <w:r w:rsidRPr="00A2741E">
        <w:t xml:space="preserve">, qui ont mis en place, à </w:t>
      </w:r>
      <w:r>
        <w:t>échelle nationale, régionale ou multinationale</w:t>
      </w:r>
      <w:r w:rsidRPr="00A2741E">
        <w:t>, des cadres de régulation</w:t>
      </w:r>
      <w:r w:rsidR="00A958AB">
        <w:rPr>
          <w:rStyle w:val="Appelnotedebasdep"/>
        </w:rPr>
        <w:footnoteReference w:id="1"/>
      </w:r>
      <w:r w:rsidRPr="00A2741E">
        <w:t xml:space="preserve"> </w:t>
      </w:r>
      <w:r>
        <w:t>de ce</w:t>
      </w:r>
      <w:r w:rsidRPr="00A002AA">
        <w:t xml:space="preserve"> commerce.</w:t>
      </w:r>
    </w:p>
    <w:p w14:paraId="735D2501" w14:textId="59B9E8B9" w:rsidR="005A2DBF" w:rsidRPr="00A2741E" w:rsidRDefault="005A2DBF" w:rsidP="006841F9">
      <w:pPr>
        <w:pStyle w:val="Corps"/>
      </w:pPr>
      <w:r w:rsidRPr="00A002AA">
        <w:t>Récemment, certains dossiers ont participé d’une plus grande visibilité de ces enjeux. Le Yémen est certainement le cas le plus emblématique</w:t>
      </w:r>
      <w:r w:rsidRPr="00A2741E">
        <w:t xml:space="preserve"> des tensions entre exportations et régulations</w:t>
      </w:r>
      <w:r w:rsidRPr="00A002AA">
        <w:t xml:space="preserve">. </w:t>
      </w:r>
      <w:r w:rsidRPr="00A2741E">
        <w:t xml:space="preserve">Une </w:t>
      </w:r>
      <w:r>
        <w:t>campagne militaire</w:t>
      </w:r>
      <w:r w:rsidRPr="00A2741E">
        <w:t xml:space="preserve"> orchestrée par </w:t>
      </w:r>
      <w:r w:rsidRPr="00A002AA">
        <w:t xml:space="preserve">l’Arabie Saoudite et les </w:t>
      </w:r>
      <w:r w:rsidR="000E3074" w:rsidRPr="00A002AA">
        <w:t>Émirats</w:t>
      </w:r>
      <w:r w:rsidRPr="00A002AA">
        <w:t xml:space="preserve"> </w:t>
      </w:r>
      <w:r w:rsidR="00AC518E">
        <w:t>arabes u</w:t>
      </w:r>
      <w:r w:rsidRPr="00A002AA">
        <w:t>nis</w:t>
      </w:r>
      <w:r w:rsidRPr="00A2741E">
        <w:t xml:space="preserve"> a plongé le pays dans une crise humanitaire majeure selon </w:t>
      </w:r>
      <w:r w:rsidRPr="00A2741E">
        <w:lastRenderedPageBreak/>
        <w:t xml:space="preserve">l’ONU. </w:t>
      </w:r>
      <w:r w:rsidRPr="00A002AA">
        <w:t xml:space="preserve">Or </w:t>
      </w:r>
      <w:r w:rsidRPr="00A2741E">
        <w:t xml:space="preserve">les </w:t>
      </w:r>
      <w:r w:rsidR="000E3074" w:rsidRPr="00A2741E">
        <w:t>États</w:t>
      </w:r>
      <w:r w:rsidRPr="00A2741E">
        <w:t xml:space="preserve"> belligérants</w:t>
      </w:r>
      <w:r w:rsidRPr="00A002AA">
        <w:t xml:space="preserve"> sont approvisionnés par </w:t>
      </w:r>
      <w:r w:rsidRPr="00A2741E">
        <w:t>d</w:t>
      </w:r>
      <w:r w:rsidRPr="00A002AA">
        <w:t xml:space="preserve">es armes occidentales, dont </w:t>
      </w:r>
      <w:r w:rsidRPr="00A2741E">
        <w:t xml:space="preserve">pour le côté européen </w:t>
      </w:r>
      <w:r w:rsidRPr="00A002AA">
        <w:t xml:space="preserve">l’Allemagne, la Belgique, </w:t>
      </w:r>
      <w:r w:rsidR="00D147C4" w:rsidRPr="00A002AA">
        <w:t xml:space="preserve">la </w:t>
      </w:r>
      <w:r w:rsidR="00D147C4">
        <w:t xml:space="preserve">France, </w:t>
      </w:r>
      <w:r w:rsidRPr="00A002AA">
        <w:t>les Pays-Bas. Les critiques</w:t>
      </w:r>
      <w:r>
        <w:t xml:space="preserve"> </w:t>
      </w:r>
      <w:r w:rsidRPr="00A002AA">
        <w:t xml:space="preserve">pointent </w:t>
      </w:r>
      <w:r>
        <w:t>en conséquence</w:t>
      </w:r>
      <w:r w:rsidRPr="00A002AA">
        <w:t xml:space="preserve"> du doigt la responsabilité des gouvernements occidentaux dans les atrocités commises sur les populations civiles yéménites. </w:t>
      </w:r>
    </w:p>
    <w:p w14:paraId="538DC39D" w14:textId="2CEEBB96" w:rsidR="005A2DBF" w:rsidRPr="00A002AA" w:rsidRDefault="005A2DBF" w:rsidP="006841F9">
      <w:pPr>
        <w:pStyle w:val="Corps"/>
      </w:pPr>
      <w:r w:rsidRPr="00A2741E">
        <w:t xml:space="preserve">Nous revenons ici tout d’abord sur les controverses que soulève le commerce international </w:t>
      </w:r>
      <w:r w:rsidRPr="004C6C7A">
        <w:t>des armes</w:t>
      </w:r>
      <w:r w:rsidR="00D147C4" w:rsidRPr="004C6C7A">
        <w:t xml:space="preserve"> conventionnelles </w:t>
      </w:r>
      <w:r w:rsidR="008766EF" w:rsidRPr="004C6C7A">
        <w:t xml:space="preserve">ou dites </w:t>
      </w:r>
      <w:r w:rsidR="00D147C4" w:rsidRPr="004C6C7A">
        <w:t>classiques</w:t>
      </w:r>
      <w:r w:rsidR="006841F9" w:rsidRPr="004C6C7A">
        <w:t xml:space="preserve"> (missiles, chars, etc</w:t>
      </w:r>
      <w:r w:rsidR="00AC518E">
        <w:t>.</w:t>
      </w:r>
      <w:r w:rsidR="006841F9" w:rsidRPr="004C6C7A">
        <w:t>)</w:t>
      </w:r>
      <w:r w:rsidR="008766EF" w:rsidRPr="004C6C7A">
        <w:t>. Ce type d’armes, défini en opposition aux armes de destruction massive (armes biologiques, chimiques, nucléaires, radiologiques), a fait l’objet de tentatives de régulation concernant ses usages (par exemple, sur les mines anti-personnel), mais non quant à ses échanges marchands jusqu’à récemment.</w:t>
      </w:r>
      <w:r w:rsidRPr="004C6C7A">
        <w:t xml:space="preserve"> Comprendre</w:t>
      </w:r>
      <w:r w:rsidRPr="00A2741E">
        <w:t xml:space="preserve"> </w:t>
      </w:r>
      <w:r>
        <w:t xml:space="preserve">le lien avec les conflits </w:t>
      </w:r>
      <w:r w:rsidR="00072DB9">
        <w:t xml:space="preserve">et plus généralement l’insécurité </w:t>
      </w:r>
      <w:r w:rsidRPr="00A2741E">
        <w:t>qu</w:t>
      </w:r>
      <w:r w:rsidR="00072DB9">
        <w:t>e ce commerce</w:t>
      </w:r>
      <w:r w:rsidRPr="00A2741E">
        <w:t xml:space="preserve"> génère nécessite de revenir sur une dynamique de fond, à savoir l’augmentation notable des dépenses et exportations militaires ces dernières années. Face à </w:t>
      </w:r>
      <w:r>
        <w:t>cette dynamique</w:t>
      </w:r>
      <w:r w:rsidRPr="00A2741E">
        <w:t xml:space="preserve">, les tentatives de réguler </w:t>
      </w:r>
      <w:r w:rsidR="00072DB9">
        <w:t>les transferts d’</w:t>
      </w:r>
      <w:r w:rsidRPr="00A2741E">
        <w:t xml:space="preserve">armes, bien que </w:t>
      </w:r>
      <w:r>
        <w:t xml:space="preserve">louables </w:t>
      </w:r>
      <w:r w:rsidR="009A283E">
        <w:t xml:space="preserve">et </w:t>
      </w:r>
      <w:r w:rsidRPr="00A2741E">
        <w:t xml:space="preserve">saluées, montrent toutefois des faiblesses, liées tant </w:t>
      </w:r>
      <w:r w:rsidR="00CD3196">
        <w:t xml:space="preserve">aux </w:t>
      </w:r>
      <w:r w:rsidR="0091635A">
        <w:t xml:space="preserve">intérêts en présence </w:t>
      </w:r>
      <w:r w:rsidRPr="00A2741E">
        <w:t xml:space="preserve">qu’à la reconfiguration du paysage </w:t>
      </w:r>
      <w:r w:rsidR="0091635A">
        <w:t xml:space="preserve">mondial </w:t>
      </w:r>
      <w:r>
        <w:t>de la production</w:t>
      </w:r>
      <w:r w:rsidRPr="00A2741E">
        <w:t xml:space="preserve"> </w:t>
      </w:r>
      <w:r>
        <w:t>d’armes</w:t>
      </w:r>
      <w:r w:rsidRPr="00A2741E">
        <w:t>.</w:t>
      </w:r>
    </w:p>
    <w:p w14:paraId="214B971F" w14:textId="7BABD84E" w:rsidR="005A2DBF" w:rsidRPr="00A002AA" w:rsidRDefault="005A2DBF" w:rsidP="006841F9">
      <w:pPr>
        <w:pStyle w:val="VDIIntertitre"/>
      </w:pPr>
      <w:r w:rsidRPr="00A002AA">
        <w:rPr>
          <w:shd w:val="clear" w:color="auto" w:fill="FFFFFF"/>
        </w:rPr>
        <w:t>La sécurité par le doux commerce des armes</w:t>
      </w:r>
      <w:r>
        <w:rPr>
          <w:shd w:val="clear" w:color="auto" w:fill="FFFFFF"/>
        </w:rPr>
        <w:t> </w:t>
      </w:r>
      <w:r w:rsidRPr="00A002AA">
        <w:rPr>
          <w:shd w:val="clear" w:color="auto" w:fill="FFFFFF"/>
        </w:rPr>
        <w:t>? </w:t>
      </w:r>
    </w:p>
    <w:p w14:paraId="7CAB8782" w14:textId="124C3602" w:rsidR="00FA7E05" w:rsidRDefault="005A2DBF" w:rsidP="00FA7E05">
      <w:pPr>
        <w:pStyle w:val="Corps"/>
      </w:pPr>
      <w:r>
        <w:t xml:space="preserve">S’il est discuté par ailleurs, le principe libéral faisant du commerce un facteur de pacification des relations internationales est </w:t>
      </w:r>
      <w:r w:rsidR="00E359B2">
        <w:t xml:space="preserve">d’autant </w:t>
      </w:r>
      <w:r>
        <w:t>plus contesté quand il s’agit d’armement</w:t>
      </w:r>
      <w:r w:rsidR="004E322C">
        <w:t xml:space="preserve">. </w:t>
      </w:r>
    </w:p>
    <w:p w14:paraId="51ED3A75" w14:textId="44575712" w:rsidR="00FA7E05" w:rsidRDefault="005A2DBF" w:rsidP="00FA7E05">
      <w:pPr>
        <w:pStyle w:val="Corps"/>
      </w:pPr>
      <w:r w:rsidRPr="00A002AA">
        <w:t xml:space="preserve">D’un point de vue scientifique, </w:t>
      </w:r>
      <w:r>
        <w:t xml:space="preserve">les analyses tentent de </w:t>
      </w:r>
      <w:r w:rsidRPr="00A2741E">
        <w:t xml:space="preserve">comprendre dans quelle mesure </w:t>
      </w:r>
      <w:r>
        <w:t>ce</w:t>
      </w:r>
      <w:r w:rsidRPr="00A2741E">
        <w:t xml:space="preserve"> commerce stabilise ou déstabilise la sécurité internationale :</w:t>
      </w:r>
      <w:r>
        <w:t xml:space="preserve"> </w:t>
      </w:r>
      <w:r w:rsidRPr="00A002AA">
        <w:t xml:space="preserve">les conflits et risques sécuritaires expliquent-ils le commerce d’armes, ou au contraire, ce dernier participe-t-il, voire cause-t-il les conflits ? </w:t>
      </w:r>
      <w:r w:rsidRPr="00A2741E">
        <w:t xml:space="preserve">Le lien de causalité entre commerce d’armes et conflits peut fonctionner dans les deux sens, ce qui rend l’analyse complexe et les résultats scientifiques disputés, variant selon les cas empiriques. </w:t>
      </w:r>
    </w:p>
    <w:p w14:paraId="231DAB83" w14:textId="0A962E72" w:rsidR="005A2DBF" w:rsidRPr="00A2741E" w:rsidRDefault="005A2DBF" w:rsidP="00FA7E05">
      <w:pPr>
        <w:pStyle w:val="Corps"/>
      </w:pPr>
      <w:r w:rsidRPr="00A002AA">
        <w:t xml:space="preserve">D’un côté, </w:t>
      </w:r>
      <w:r w:rsidRPr="00A2741E">
        <w:t xml:space="preserve">certains </w:t>
      </w:r>
      <w:r w:rsidRPr="00925C25">
        <w:rPr>
          <w:rFonts w:cs="Al Bayan Plain"/>
        </w:rPr>
        <w:t>travaux</w:t>
      </w:r>
      <w:r w:rsidRPr="00A2741E">
        <w:t xml:space="preserve"> </w:t>
      </w:r>
      <w:r w:rsidR="00FA7E05">
        <w:t xml:space="preserve">scientifiques </w:t>
      </w:r>
      <w:r w:rsidRPr="00A2741E">
        <w:t xml:space="preserve">estiment que </w:t>
      </w:r>
      <w:r w:rsidRPr="00A002AA">
        <w:t xml:space="preserve">le commerce d’armes </w:t>
      </w:r>
      <w:r w:rsidRPr="00A2741E">
        <w:t>n’est</w:t>
      </w:r>
      <w:r w:rsidRPr="00A002AA">
        <w:t xml:space="preserve"> pas une cause de conflits</w:t>
      </w:r>
      <w:r w:rsidRPr="00A2741E">
        <w:rPr>
          <w:rStyle w:val="Appelnotedebasdep"/>
          <w:rFonts w:asciiTheme="majorHAnsi" w:eastAsia="Times New Roman" w:hAnsiTheme="majorHAnsi" w:cstheme="majorHAnsi"/>
          <w:lang w:eastAsia="en-GB"/>
        </w:rPr>
        <w:footnoteReference w:id="2"/>
      </w:r>
      <w:r w:rsidR="009A283E">
        <w:t> </w:t>
      </w:r>
      <w:r w:rsidRPr="00A2741E">
        <w:t xml:space="preserve">: </w:t>
      </w:r>
      <w:r w:rsidR="009A283E">
        <w:t>ce serait plutôt l’inverse</w:t>
      </w:r>
      <w:r w:rsidRPr="00A002AA">
        <w:t xml:space="preserve">, les conflits expliquant </w:t>
      </w:r>
      <w:r w:rsidRPr="00A002AA">
        <w:lastRenderedPageBreak/>
        <w:t>l’importation d’armes</w:t>
      </w:r>
      <w:r w:rsidRPr="00A2741E">
        <w:t xml:space="preserve"> ; un pays vendeur cible comme clients des pays stables et respectant les droits humains ; </w:t>
      </w:r>
      <w:r w:rsidRPr="00A002AA">
        <w:t xml:space="preserve">l’achat d’armes peut agir comme un </w:t>
      </w:r>
      <w:r>
        <w:t>moyen de dissuasion</w:t>
      </w:r>
      <w:r w:rsidRPr="00A002AA">
        <w:t xml:space="preserve">, dans le sens où l’État importateur, en augmentant ses capacités militaires, rend </w:t>
      </w:r>
      <w:r w:rsidRPr="00A2741E">
        <w:t xml:space="preserve">moins probable </w:t>
      </w:r>
      <w:r w:rsidRPr="00A002AA">
        <w:t xml:space="preserve">une attaque </w:t>
      </w:r>
      <w:r w:rsidRPr="00A2741E">
        <w:t xml:space="preserve">(insurrection, coup d’État) </w:t>
      </w:r>
      <w:r w:rsidRPr="00A002AA">
        <w:t>contre lui</w:t>
      </w:r>
      <w:r w:rsidRPr="00A2741E">
        <w:t xml:space="preserve"> ou une guerre civile.</w:t>
      </w:r>
      <w:r w:rsidRPr="00A002AA">
        <w:t xml:space="preserve"> On retrouve ces arguments dans le champ politique</w:t>
      </w:r>
      <w:r>
        <w:t> </w:t>
      </w:r>
      <w:r w:rsidRPr="00A002AA">
        <w:t xml:space="preserve">: le commerce des armes est censé apporter selon ses promoteurs des gains de sécurité en renforçant les capacités militaires des puissances alliées et en donnant un levier d’influence sur les pays clients. </w:t>
      </w:r>
      <w:r w:rsidR="0091635A">
        <w:t xml:space="preserve">Le </w:t>
      </w:r>
      <w:r w:rsidRPr="00A002AA">
        <w:t xml:space="preserve">commerce des armes fait </w:t>
      </w:r>
      <w:r w:rsidR="0091635A">
        <w:t xml:space="preserve">alors </w:t>
      </w:r>
      <w:r w:rsidRPr="00A002AA">
        <w:t>partie de la politique étrangère et stratégie d’influence des États</w:t>
      </w:r>
      <w:r w:rsidR="0091635A">
        <w:t xml:space="preserve"> exportateurs</w:t>
      </w:r>
      <w:r w:rsidRPr="00A002AA">
        <w:t>. </w:t>
      </w:r>
      <w:r w:rsidRPr="00A2741E">
        <w:t xml:space="preserve">Les </w:t>
      </w:r>
      <w:r w:rsidRPr="00A002AA">
        <w:t xml:space="preserve">transferts d’armement </w:t>
      </w:r>
      <w:r w:rsidRPr="00A2741E">
        <w:t xml:space="preserve">sont promus </w:t>
      </w:r>
      <w:r w:rsidRPr="00A002AA">
        <w:t xml:space="preserve">comme un substitut utile à l’envoi de soldats dans des opérations extérieures. </w:t>
      </w:r>
    </w:p>
    <w:p w14:paraId="716DA677" w14:textId="5D9F3312" w:rsidR="001571A5" w:rsidRDefault="005A2DBF" w:rsidP="001571A5">
      <w:pPr>
        <w:pStyle w:val="Corps"/>
      </w:pPr>
      <w:r w:rsidRPr="00A002AA">
        <w:t>D’un autre côté, d’autres études insistent sur l’impact néfaste du commerce des armes</w:t>
      </w:r>
      <w:r w:rsidRPr="00A2741E">
        <w:rPr>
          <w:rStyle w:val="Appelnotedebasdep"/>
          <w:rFonts w:asciiTheme="majorHAnsi" w:eastAsia="Times New Roman" w:hAnsiTheme="majorHAnsi" w:cstheme="majorHAnsi"/>
          <w:lang w:eastAsia="en-GB"/>
        </w:rPr>
        <w:footnoteReference w:id="3"/>
      </w:r>
      <w:r w:rsidRPr="00A2741E">
        <w:t xml:space="preserve"> </w:t>
      </w:r>
      <w:r w:rsidRPr="00A002AA">
        <w:t>: il serait non la conséquence</w:t>
      </w:r>
      <w:r w:rsidR="00AC518E">
        <w:t>,</w:t>
      </w:r>
      <w:r w:rsidRPr="00A002AA">
        <w:t xml:space="preserve"> mais la cause ou l’une des causes des tensions et conflits</w:t>
      </w:r>
      <w:r w:rsidRPr="00A2741E">
        <w:t xml:space="preserve">. Le commerce des armes </w:t>
      </w:r>
      <w:r w:rsidRPr="00A002AA">
        <w:t>augment</w:t>
      </w:r>
      <w:r w:rsidRPr="00A2741E">
        <w:t>erait</w:t>
      </w:r>
      <w:r w:rsidRPr="00A002AA">
        <w:t xml:space="preserve"> l</w:t>
      </w:r>
      <w:r w:rsidRPr="00A2741E">
        <w:t xml:space="preserve">a probabilité de l’explosion de nouveaux conflits : mieux armés, les </w:t>
      </w:r>
      <w:r w:rsidR="009A283E" w:rsidRPr="00A2741E">
        <w:t>États</w:t>
      </w:r>
      <w:r w:rsidRPr="00A2741E">
        <w:t xml:space="preserve"> ou groupes agresseurs seraient plus enclins à aller au combat. U</w:t>
      </w:r>
      <w:r w:rsidRPr="00A002AA">
        <w:t xml:space="preserve">ne fois le conflit existant, </w:t>
      </w:r>
      <w:r w:rsidRPr="00A2741E">
        <w:t>le commerce des armes rendrait le conflit plus létal (car avec plus d’armes</w:t>
      </w:r>
      <w:r>
        <w:t xml:space="preserve"> ou des armes plus sophistiquées</w:t>
      </w:r>
      <w:r w:rsidRPr="00A2741E">
        <w:t>, il</w:t>
      </w:r>
      <w:r>
        <w:t xml:space="preserve"> peut</w:t>
      </w:r>
      <w:r w:rsidRPr="00A2741E">
        <w:t xml:space="preserve"> y a</w:t>
      </w:r>
      <w:r>
        <w:t>voir</w:t>
      </w:r>
      <w:r w:rsidRPr="00A2741E">
        <w:t xml:space="preserve"> plus de morts)</w:t>
      </w:r>
      <w:r w:rsidRPr="00A002AA">
        <w:t xml:space="preserve">, ainsi que ses effets </w:t>
      </w:r>
      <w:r w:rsidRPr="00A2741E">
        <w:t xml:space="preserve">négatifs </w:t>
      </w:r>
      <w:r w:rsidRPr="00A002AA">
        <w:t>sur les populations civiles.</w:t>
      </w:r>
      <w:r w:rsidRPr="00A2741E">
        <w:t xml:space="preserve"> </w:t>
      </w:r>
      <w:r>
        <w:t xml:space="preserve">En effet, les craintes sont fortes que des régimes autocratiques et/ou ne respectant pas les droits humains retournent contre leurs populations civiles leur puissance militaire. </w:t>
      </w:r>
    </w:p>
    <w:p w14:paraId="7D8A5835" w14:textId="6F345C2C" w:rsidR="00A7708D" w:rsidRDefault="005A2DBF" w:rsidP="001571A5">
      <w:pPr>
        <w:pStyle w:val="Corps"/>
      </w:pPr>
      <w:r w:rsidRPr="00A002AA">
        <w:t xml:space="preserve">Dans une étude récente, </w:t>
      </w:r>
      <w:proofErr w:type="spellStart"/>
      <w:r w:rsidRPr="00A002AA">
        <w:t>Pamp</w:t>
      </w:r>
      <w:proofErr w:type="spellEnd"/>
      <w:r w:rsidRPr="00A002AA">
        <w:t xml:space="preserve"> et al., prenant de front méthodologiquement le problème de l’</w:t>
      </w:r>
      <w:proofErr w:type="spellStart"/>
      <w:r w:rsidRPr="00A002AA">
        <w:t>endogénéité</w:t>
      </w:r>
      <w:proofErr w:type="spellEnd"/>
      <w:r w:rsidRPr="00A002AA">
        <w:t xml:space="preserve"> dans la relation entre commerce des armes et conflits, </w:t>
      </w:r>
      <w:r w:rsidR="004F73E1">
        <w:t>concluent que</w:t>
      </w:r>
      <w:r w:rsidRPr="00A002AA">
        <w:t xml:space="preserve"> </w:t>
      </w:r>
      <w:r w:rsidR="00FA7E05">
        <w:t xml:space="preserve">« si </w:t>
      </w:r>
      <w:r w:rsidRPr="00A002AA">
        <w:t>le</w:t>
      </w:r>
      <w:r w:rsidR="008205DB">
        <w:t>s importations d’</w:t>
      </w:r>
      <w:r w:rsidRPr="00A002AA">
        <w:t>arme</w:t>
      </w:r>
      <w:r w:rsidR="008205DB">
        <w:t>ment</w:t>
      </w:r>
      <w:r w:rsidRPr="00A002AA">
        <w:t xml:space="preserve"> </w:t>
      </w:r>
      <w:r w:rsidR="008205DB">
        <w:t>ne sont</w:t>
      </w:r>
      <w:r w:rsidRPr="00A002AA">
        <w:t xml:space="preserve"> pas la cause </w:t>
      </w:r>
      <w:r w:rsidR="008205DB">
        <w:t>véritable</w:t>
      </w:r>
      <w:r w:rsidRPr="00A002AA">
        <w:t xml:space="preserve"> des conflits</w:t>
      </w:r>
      <w:r w:rsidR="008205DB">
        <w:t xml:space="preserve">, elles </w:t>
      </w:r>
      <w:r w:rsidRPr="00A002AA">
        <w:t>augmente</w:t>
      </w:r>
      <w:r w:rsidR="008205DB">
        <w:t xml:space="preserve">nt </w:t>
      </w:r>
      <w:r w:rsidRPr="00A002AA">
        <w:t>de manière significative</w:t>
      </w:r>
      <w:r w:rsidRPr="00A2741E">
        <w:t xml:space="preserve"> la probabilité de l’explosion d’un conflit dans les pays où les conditions sont notoirement propices au conflit</w:t>
      </w:r>
      <w:r w:rsidR="008205DB">
        <w:t xml:space="preserve">. Dans ces situations, les armes ne sont pas un outil de dissuasion efficace, mais provoquent plutôt une escalade des conflits </w:t>
      </w:r>
      <w:r>
        <w:t>»</w:t>
      </w:r>
      <w:r w:rsidR="00A7708D">
        <w:t>.</w:t>
      </w:r>
      <w:r w:rsidRPr="00A2741E">
        <w:rPr>
          <w:rStyle w:val="Appelnotedebasdep"/>
          <w:rFonts w:asciiTheme="majorHAnsi" w:eastAsia="Times New Roman" w:hAnsiTheme="majorHAnsi" w:cstheme="majorHAnsi"/>
          <w:lang w:eastAsia="en-GB"/>
        </w:rPr>
        <w:footnoteReference w:id="4"/>
      </w:r>
      <w:r w:rsidRPr="00A002AA">
        <w:t> </w:t>
      </w:r>
      <w:r w:rsidRPr="00A2741E">
        <w:t xml:space="preserve">Il existe donc des nuances dans l’analyse du lien causal entre commerce des armes et conflits, </w:t>
      </w:r>
      <w:r w:rsidRPr="00A002AA">
        <w:t xml:space="preserve">tant les </w:t>
      </w:r>
      <w:r>
        <w:t>chercheur.es</w:t>
      </w:r>
      <w:r w:rsidRPr="00A002AA">
        <w:t xml:space="preserve"> spécifient leur réponse selon le type d’armes, de conflits (internes</w:t>
      </w:r>
      <w:r w:rsidRPr="00A2741E">
        <w:t>/</w:t>
      </w:r>
      <w:r w:rsidRPr="00A002AA">
        <w:t>internationaux), de pays exportateurs et importateurs et de périodes historiques</w:t>
      </w:r>
      <w:r w:rsidRPr="00A2741E">
        <w:t xml:space="preserve">. Mais le consensus émergent </w:t>
      </w:r>
      <w:r w:rsidRPr="00A2741E">
        <w:lastRenderedPageBreak/>
        <w:t>sur la question repose sur l’idée que si le commerce des armes n’est pas le facteur causal direct et unique, il est un élément nécessaire dans l’équation de la conflictualité, aux côtés d’autres facteurs tels que les institutions d’un pays.</w:t>
      </w:r>
      <w:r w:rsidR="001571A5">
        <w:t xml:space="preserve"> </w:t>
      </w:r>
    </w:p>
    <w:p w14:paraId="0229E281" w14:textId="7956FFFF" w:rsidR="0004529F" w:rsidRDefault="005A2DBF" w:rsidP="00206CEA">
      <w:pPr>
        <w:pStyle w:val="Corps"/>
      </w:pPr>
      <w:r w:rsidRPr="00A002AA">
        <w:t xml:space="preserve">Cette position scientifique se reflète également dans le champ politique, </w:t>
      </w:r>
      <w:r w:rsidRPr="00A2741E">
        <w:t>national et international. De</w:t>
      </w:r>
      <w:r w:rsidRPr="00A002AA">
        <w:t xml:space="preserve"> nombreuses voix critiquent l’impact négatif des exportations d’armement et préconisent, si ce n’est un arrêt, du moins un</w:t>
      </w:r>
      <w:r w:rsidRPr="00A2741E">
        <w:t xml:space="preserve"> meilleur contrôle </w:t>
      </w:r>
      <w:r w:rsidRPr="00A002AA">
        <w:t xml:space="preserve">du commerce des armes. </w:t>
      </w:r>
      <w:r w:rsidRPr="00A2741E">
        <w:t>L’ONU et son Bureau des Affaires de Désarmement</w:t>
      </w:r>
      <w:r w:rsidRPr="00A2741E">
        <w:rPr>
          <w:rStyle w:val="Appelnotedebasdep"/>
          <w:rFonts w:asciiTheme="majorHAnsi" w:eastAsia="Times New Roman" w:hAnsiTheme="majorHAnsi" w:cstheme="majorHAnsi"/>
          <w:lang w:eastAsia="en-GB"/>
        </w:rPr>
        <w:footnoteReference w:id="5"/>
      </w:r>
      <w:r w:rsidRPr="00A2741E">
        <w:t xml:space="preserve"> (UNODA) et d</w:t>
      </w:r>
      <w:r w:rsidRPr="00A002AA">
        <w:t xml:space="preserve">e nombreuses </w:t>
      </w:r>
      <w:proofErr w:type="spellStart"/>
      <w:r w:rsidRPr="00A002AA">
        <w:t>ONGs</w:t>
      </w:r>
      <w:proofErr w:type="spellEnd"/>
      <w:r w:rsidRPr="00A2741E">
        <w:rPr>
          <w:rStyle w:val="Appelnotedebasdep"/>
          <w:rFonts w:asciiTheme="majorHAnsi" w:eastAsia="Times New Roman" w:hAnsiTheme="majorHAnsi" w:cstheme="majorHAnsi"/>
          <w:lang w:eastAsia="en-GB"/>
        </w:rPr>
        <w:footnoteReference w:id="6"/>
      </w:r>
      <w:r w:rsidRPr="00A002AA">
        <w:t xml:space="preserve"> </w:t>
      </w:r>
      <w:r w:rsidRPr="00A2741E">
        <w:t xml:space="preserve">œuvrent </w:t>
      </w:r>
      <w:r w:rsidRPr="00A002AA">
        <w:t xml:space="preserve">depuis longtemps </w:t>
      </w:r>
      <w:r w:rsidRPr="00A2741E">
        <w:t>pour la cause</w:t>
      </w:r>
      <w:r w:rsidRPr="00A002AA">
        <w:t xml:space="preserve"> du désarmement. Certains États, comme le Canada ou la Suède</w:t>
      </w:r>
      <w:r w:rsidRPr="00A2741E">
        <w:t xml:space="preserve">, </w:t>
      </w:r>
      <w:r w:rsidR="009A283E">
        <w:t xml:space="preserve">se </w:t>
      </w:r>
      <w:r w:rsidRPr="00A2741E">
        <w:t xml:space="preserve">réclament </w:t>
      </w:r>
      <w:r w:rsidR="009A283E">
        <w:t>de</w:t>
      </w:r>
      <w:r w:rsidRPr="00A002AA">
        <w:t xml:space="preserve"> politiques étrangères féministes, dont les caractéristiques ne sont pas (uniquement) </w:t>
      </w:r>
      <w:r>
        <w:t>« </w:t>
      </w:r>
      <w:r w:rsidRPr="00A002AA">
        <w:t>d’inclure les femmes</w:t>
      </w:r>
      <w:r>
        <w:t> »</w:t>
      </w:r>
      <w:r w:rsidRPr="00A002AA">
        <w:t xml:space="preserve"> dans l’équation</w:t>
      </w:r>
      <w:r w:rsidR="00AC518E">
        <w:t>,</w:t>
      </w:r>
      <w:r w:rsidRPr="00A2741E">
        <w:t xml:space="preserve"> </w:t>
      </w:r>
      <w:r w:rsidRPr="00A002AA">
        <w:t xml:space="preserve">mais de repenser </w:t>
      </w:r>
      <w:r w:rsidRPr="00A2741E">
        <w:t xml:space="preserve">plus globalement </w:t>
      </w:r>
      <w:r w:rsidRPr="00A002AA">
        <w:t xml:space="preserve">les modalités de la paix et de </w:t>
      </w:r>
      <w:r w:rsidRPr="00A2741E">
        <w:t>questionner l</w:t>
      </w:r>
      <w:r w:rsidRPr="00A002AA">
        <w:t>a militarisation des relations internationales</w:t>
      </w:r>
      <w:r w:rsidRPr="00A2741E">
        <w:rPr>
          <w:rStyle w:val="Appelnotedebasdep"/>
          <w:rFonts w:asciiTheme="majorHAnsi" w:eastAsia="Times New Roman" w:hAnsiTheme="majorHAnsi" w:cstheme="majorHAnsi"/>
          <w:lang w:eastAsia="en-GB"/>
        </w:rPr>
        <w:footnoteReference w:id="7"/>
      </w:r>
      <w:r w:rsidRPr="00A002AA">
        <w:t xml:space="preserve">. </w:t>
      </w:r>
      <w:r w:rsidR="001571A5">
        <w:t>C</w:t>
      </w:r>
      <w:r w:rsidR="00596FDC">
        <w:t xml:space="preserve">ontre une définition </w:t>
      </w:r>
      <w:r w:rsidR="00724521">
        <w:t>focalisée sur les</w:t>
      </w:r>
      <w:r w:rsidR="00596FDC">
        <w:t xml:space="preserve"> </w:t>
      </w:r>
      <w:r w:rsidR="00AC518E">
        <w:t>É</w:t>
      </w:r>
      <w:r w:rsidR="00596FDC">
        <w:t>tats et l’absence de conflits, c</w:t>
      </w:r>
      <w:r w:rsidR="001571A5">
        <w:t xml:space="preserve">es dernières critiques </w:t>
      </w:r>
      <w:r w:rsidR="00A7708D">
        <w:t>mettent en avant</w:t>
      </w:r>
      <w:r w:rsidR="001571A5">
        <w:t xml:space="preserve"> une définition plus large de la sécurité </w:t>
      </w:r>
      <w:r w:rsidR="00596FDC">
        <w:t xml:space="preserve">– la sécurité humaine, centrée sur la survie, mais aussi les conditions de vie et la dignité des personnes – </w:t>
      </w:r>
      <w:r w:rsidR="001571A5">
        <w:t>et de là, élargissent le débat quant aux méfaits du commerce des armes</w:t>
      </w:r>
      <w:r w:rsidR="00206CEA">
        <w:t> : conflits et armements ont des effets en termes de santé, d’environnement ou encore de relations de genre</w:t>
      </w:r>
      <w:r w:rsidR="00414835">
        <w:t xml:space="preserve">. </w:t>
      </w:r>
    </w:p>
    <w:p w14:paraId="57F18399" w14:textId="0F0FD576" w:rsidR="004E322C" w:rsidRPr="00A002AA" w:rsidRDefault="00424939" w:rsidP="00206CEA">
      <w:pPr>
        <w:pStyle w:val="Corps"/>
      </w:pPr>
      <w:r>
        <w:t>S’ils sont davantage centrés sur les motifs de la guerre et ses pratiques, l</w:t>
      </w:r>
      <w:r w:rsidR="00724521">
        <w:t xml:space="preserve">es débats autour de </w:t>
      </w:r>
      <w:r w:rsidR="00E721EE">
        <w:t xml:space="preserve">l’éthique et de </w:t>
      </w:r>
      <w:r w:rsidR="00724521">
        <w:t xml:space="preserve">la « guerre juste » ont également pointé du doigt </w:t>
      </w:r>
      <w:r>
        <w:t xml:space="preserve">la responsabilité des </w:t>
      </w:r>
      <w:r w:rsidR="00AC518E">
        <w:t>États,</w:t>
      </w:r>
      <w:r>
        <w:t xml:space="preserve"> mais aussi des industries. </w:t>
      </w:r>
      <w:r w:rsidR="00C43130">
        <w:t>L’introduction et de la commercialisation de</w:t>
      </w:r>
      <w:r w:rsidR="00657515">
        <w:t xml:space="preserve"> nouvelles technologies (</w:t>
      </w:r>
      <w:r w:rsidR="00C43130">
        <w:t xml:space="preserve">des </w:t>
      </w:r>
      <w:r w:rsidR="00657515">
        <w:t>drones</w:t>
      </w:r>
      <w:r w:rsidR="00C43130">
        <w:t xml:space="preserve"> jusqu’aux s</w:t>
      </w:r>
      <w:r w:rsidR="00C43130" w:rsidRPr="00C43130">
        <w:t>ystème</w:t>
      </w:r>
      <w:r w:rsidR="00C43130">
        <w:t>s</w:t>
      </w:r>
      <w:r w:rsidR="00C43130" w:rsidRPr="00C43130">
        <w:t xml:space="preserve"> d'armes létales autonome</w:t>
      </w:r>
      <w:r w:rsidR="00C43130">
        <w:t xml:space="preserve">s) sont </w:t>
      </w:r>
      <w:r w:rsidR="00F52BA9">
        <w:t xml:space="preserve">également </w:t>
      </w:r>
      <w:r w:rsidR="00C43130">
        <w:t>analysées par le prisme de l’éthique, reliant les pratiques guerrières (peut-on tuer à distance ? quelle place pour la décision humaine ?) aux activités commerciales des industries de défense</w:t>
      </w:r>
      <w:r w:rsidR="00E721EE" w:rsidRPr="006C7C86">
        <w:rPr>
          <w:rStyle w:val="Appelnotedebasdep"/>
          <w:highlight w:val="magenta"/>
        </w:rPr>
        <w:footnoteReference w:id="8"/>
      </w:r>
      <w:r w:rsidR="00C43130">
        <w:t xml:space="preserve">. </w:t>
      </w:r>
      <w:r w:rsidR="00FF1425">
        <w:t>En outre</w:t>
      </w:r>
      <w:r w:rsidR="00E721EE">
        <w:t xml:space="preserve">, les approches en termes de guerre juste sont critiquées en cela qu’elles cherchent les critères acceptables </w:t>
      </w:r>
      <w:r w:rsidR="00E721EE">
        <w:lastRenderedPageBreak/>
        <w:t xml:space="preserve">de la guerre, et qu’elles permettent en ce sens de justifier et de reproduire </w:t>
      </w:r>
      <w:r w:rsidR="00F52BA9">
        <w:t>certaines forme</w:t>
      </w:r>
      <w:r w:rsidR="004345FE">
        <w:t>s</w:t>
      </w:r>
      <w:r w:rsidR="00F52BA9">
        <w:t xml:space="preserve"> de</w:t>
      </w:r>
      <w:r w:rsidR="00E721EE">
        <w:t xml:space="preserve"> violence.</w:t>
      </w:r>
      <w:r w:rsidR="00E721EE">
        <w:rPr>
          <w:rStyle w:val="Appelnotedebasdep"/>
        </w:rPr>
        <w:footnoteReference w:id="9"/>
      </w:r>
    </w:p>
    <w:p w14:paraId="3A3EA438" w14:textId="6D7CC07E" w:rsidR="005A2DBF" w:rsidRPr="00A002AA" w:rsidRDefault="005A2DBF" w:rsidP="006841F9">
      <w:pPr>
        <w:pStyle w:val="Corps"/>
      </w:pPr>
      <w:r w:rsidRPr="00A2741E">
        <w:t xml:space="preserve">Ce débat politique sur les bienfaits ou méfaits du commerce des armes a pris une certaine ampleur les dernières années, et a mené à des tentatives de régulation diverses comme on le verra. Mais pour comprendre l’ampleur de l’enjeu (et les difficultés de la régulation), il faut d’abord replacer ces tentatives dans leur contexte : celui d’une forte augmentation </w:t>
      </w:r>
      <w:r w:rsidRPr="00A002AA">
        <w:t>des dépenses militaires des États et des transferts d’armement observés ces dernières années. </w:t>
      </w:r>
    </w:p>
    <w:p w14:paraId="6E67B093" w14:textId="1BF103F7" w:rsidR="005A2DBF" w:rsidRPr="005A2DBF" w:rsidRDefault="009A283E" w:rsidP="006841F9">
      <w:pPr>
        <w:pStyle w:val="VDIIntertitre"/>
        <w:rPr>
          <w:shd w:val="clear" w:color="auto" w:fill="FFFFFF"/>
        </w:rPr>
      </w:pPr>
      <w:r>
        <w:rPr>
          <w:shd w:val="clear" w:color="auto" w:fill="FFFFFF"/>
        </w:rPr>
        <w:t>F</w:t>
      </w:r>
      <w:r w:rsidR="005A2DBF" w:rsidRPr="00A2741E">
        <w:rPr>
          <w:shd w:val="clear" w:color="auto" w:fill="FFFFFF"/>
        </w:rPr>
        <w:t>orte augmentation des dépenses militaires mondiales et des exportations d’armement depuis une décennie </w:t>
      </w:r>
    </w:p>
    <w:p w14:paraId="1AEDD717" w14:textId="028C2E62" w:rsidR="005A2DBF" w:rsidRPr="00A002AA" w:rsidRDefault="005A2DBF" w:rsidP="006841F9">
      <w:pPr>
        <w:pStyle w:val="Corps"/>
      </w:pPr>
      <w:r>
        <w:t>D</w:t>
      </w:r>
      <w:r w:rsidRPr="00A002AA">
        <w:t xml:space="preserve">’après les données du Stockholm International </w:t>
      </w:r>
      <w:proofErr w:type="spellStart"/>
      <w:r w:rsidRPr="00A002AA">
        <w:t>Peace</w:t>
      </w:r>
      <w:proofErr w:type="spellEnd"/>
      <w:r w:rsidRPr="00A002AA">
        <w:t xml:space="preserve"> </w:t>
      </w:r>
      <w:proofErr w:type="spellStart"/>
      <w:r w:rsidRPr="00A002AA">
        <w:t>Research</w:t>
      </w:r>
      <w:proofErr w:type="spellEnd"/>
      <w:r w:rsidRPr="00A002AA">
        <w:t xml:space="preserve"> Institute (SIPRI),</w:t>
      </w:r>
      <w:r>
        <w:t xml:space="preserve"> les dépenses militaires mondiales ont crû</w:t>
      </w:r>
      <w:r w:rsidRPr="00A002AA">
        <w:t xml:space="preserve"> de 3,6</w:t>
      </w:r>
      <w:r>
        <w:t> </w:t>
      </w:r>
      <w:r w:rsidRPr="00A002AA">
        <w:t>% par rapport à 2018, en dollars constants 2019, et de 7,2</w:t>
      </w:r>
      <w:r w:rsidR="009A283E">
        <w:t> </w:t>
      </w:r>
      <w:r w:rsidRPr="00A002AA">
        <w:t>% sur la décennie depuis 2010.</w:t>
      </w:r>
      <w:r>
        <w:t xml:space="preserve"> Ces dépenses atteignent ainsi e</w:t>
      </w:r>
      <w:r w:rsidRPr="00A002AA">
        <w:t xml:space="preserve">n 2019 1917 milliards de dollars américains ($). Les </w:t>
      </w:r>
      <w:r w:rsidR="009A283E" w:rsidRPr="00A002AA">
        <w:t>États</w:t>
      </w:r>
      <w:r w:rsidRPr="00A002AA">
        <w:t xml:space="preserve"> dont les dépenses ont été les plus importantes en 2019 sont les États-Unis ($732md)</w:t>
      </w:r>
      <w:r w:rsidR="009A283E">
        <w:t> </w:t>
      </w:r>
      <w:r w:rsidRPr="00A002AA">
        <w:t>; la Chine ($261md)</w:t>
      </w:r>
      <w:r w:rsidR="009A283E">
        <w:t> </w:t>
      </w:r>
      <w:r w:rsidRPr="00A002AA">
        <w:t>; l’Inde ($71,1md)</w:t>
      </w:r>
      <w:r w:rsidR="009A283E">
        <w:t> ;</w:t>
      </w:r>
      <w:r w:rsidRPr="00A002AA">
        <w:t xml:space="preserve"> la Russie ($65,1md)</w:t>
      </w:r>
      <w:r w:rsidR="009A283E">
        <w:t>,</w:t>
      </w:r>
      <w:r w:rsidRPr="00A002AA">
        <w:t xml:space="preserve"> et l’Arabie Saoudite ($61,9md).</w:t>
      </w:r>
      <w:r>
        <w:rPr>
          <w:rStyle w:val="Appelnotedebasdep"/>
          <w:rFonts w:asciiTheme="majorHAnsi" w:eastAsia="Times New Roman" w:hAnsiTheme="majorHAnsi" w:cstheme="majorHAnsi"/>
          <w:lang w:eastAsia="en-GB"/>
        </w:rPr>
        <w:footnoteReference w:id="10"/>
      </w:r>
      <w:r w:rsidRPr="00A002AA">
        <w:t> </w:t>
      </w:r>
    </w:p>
    <w:p w14:paraId="31613F2F" w14:textId="77777777" w:rsidR="005A2DBF" w:rsidRPr="00A002AA" w:rsidRDefault="005A2DBF" w:rsidP="006841F9">
      <w:pPr>
        <w:pStyle w:val="Corps"/>
      </w:pPr>
      <w:r w:rsidRPr="00A002AA">
        <w:t xml:space="preserve">Cette </w:t>
      </w:r>
      <w:r>
        <w:t>croissance</w:t>
      </w:r>
      <w:r w:rsidRPr="00A002AA">
        <w:t xml:space="preserve"> masque </w:t>
      </w:r>
      <w:r>
        <w:t xml:space="preserve">toutefois </w:t>
      </w:r>
      <w:r w:rsidRPr="00A002AA">
        <w:t xml:space="preserve">des disparités d’une région et d’un pays à l’autre. </w:t>
      </w:r>
      <w:r>
        <w:t>Les pays d</w:t>
      </w:r>
      <w:r w:rsidRPr="00A002AA">
        <w:t xml:space="preserve">’Europe </w:t>
      </w:r>
      <w:r>
        <w:t>occidentale ont</w:t>
      </w:r>
      <w:r w:rsidRPr="00A002AA">
        <w:t xml:space="preserve"> sur la décennie plutôt connu une </w:t>
      </w:r>
      <w:r>
        <w:t>tendance à la baisse</w:t>
      </w:r>
      <w:r w:rsidRPr="00A002AA">
        <w:t xml:space="preserve"> de </w:t>
      </w:r>
      <w:r>
        <w:t>leurs</w:t>
      </w:r>
      <w:r w:rsidRPr="00A002AA">
        <w:t xml:space="preserve"> </w:t>
      </w:r>
      <w:r w:rsidRPr="00B276DE">
        <w:t xml:space="preserve">dépenses (-1% entre </w:t>
      </w:r>
      <w:r w:rsidRPr="00A002AA">
        <w:t xml:space="preserve">2010 et 2019). Cela reflète le déclin des dépenses militaires à la suite de la crise financière de 2008. Toutefois, suite à l’invasion de la Crimée par la Russie en 2014, combinée à une reprise économique ainsi que les pressions de l’administration </w:t>
      </w:r>
      <w:proofErr w:type="spellStart"/>
      <w:r w:rsidRPr="00A002AA">
        <w:t>Trump</w:t>
      </w:r>
      <w:proofErr w:type="spellEnd"/>
      <w:r w:rsidRPr="00A002AA">
        <w:t xml:space="preserve"> pour une augmentation des budgets de défense, ces dépenses ont repris à la hausse depuis 2015. La France ($50,1md), l’Allemagne ($49,3md) et le Royaume-Uni ($48,7md) étaient respectivement 6ème, </w:t>
      </w:r>
      <w:proofErr w:type="gramStart"/>
      <w:r w:rsidRPr="00A002AA">
        <w:t>7ème et 8ème plus importants budgets</w:t>
      </w:r>
      <w:proofErr w:type="gramEnd"/>
      <w:r w:rsidRPr="00A002AA">
        <w:t xml:space="preserve"> de défense en 2019.</w:t>
      </w:r>
    </w:p>
    <w:p w14:paraId="7AC1BFE5" w14:textId="164A4410" w:rsidR="005A2DBF" w:rsidRPr="00A002AA" w:rsidRDefault="005A2DBF" w:rsidP="006841F9">
      <w:pPr>
        <w:pStyle w:val="Corps"/>
      </w:pPr>
      <w:r w:rsidRPr="00A002AA">
        <w:t xml:space="preserve">De la même manière, le budget américain de la défense a connu d’abord une diminution au début de la décennie, suite aux retraits d’Afghanistan et d’Irak des </w:t>
      </w:r>
      <w:r w:rsidRPr="00A002AA">
        <w:lastRenderedPageBreak/>
        <w:t xml:space="preserve">forces américaines à l’ère Obama. En revanche, durant le mandat de Donald </w:t>
      </w:r>
      <w:proofErr w:type="spellStart"/>
      <w:r w:rsidRPr="00A002AA">
        <w:t>Trump</w:t>
      </w:r>
      <w:proofErr w:type="spellEnd"/>
      <w:r w:rsidRPr="00A002AA">
        <w:t xml:space="preserve">, les dépenses sont également reparties à la hausse. Ceci a été justifié en grande partie par une rhétorique de </w:t>
      </w:r>
      <w:r>
        <w:t>« </w:t>
      </w:r>
      <w:r w:rsidRPr="00A002AA">
        <w:t>retour à la compétition des grandes puissances</w:t>
      </w:r>
      <w:r>
        <w:t> »</w:t>
      </w:r>
      <w:r w:rsidRPr="00A002AA">
        <w:t xml:space="preserve"> (</w:t>
      </w:r>
      <w:proofErr w:type="spellStart"/>
      <w:r w:rsidRPr="005A2DBF">
        <w:rPr>
          <w:i/>
          <w:iCs/>
        </w:rPr>
        <w:t>great</w:t>
      </w:r>
      <w:proofErr w:type="spellEnd"/>
      <w:r w:rsidRPr="005A2DBF">
        <w:rPr>
          <w:i/>
          <w:iCs/>
        </w:rPr>
        <w:t xml:space="preserve"> power </w:t>
      </w:r>
      <w:proofErr w:type="spellStart"/>
      <w:r w:rsidRPr="005A2DBF">
        <w:rPr>
          <w:i/>
          <w:iCs/>
        </w:rPr>
        <w:t>competition</w:t>
      </w:r>
      <w:proofErr w:type="spellEnd"/>
      <w:r w:rsidRPr="00A002AA">
        <w:t>). Il s’agit pour le Département de la Défense américain en particulier d’investir dans la modernisation des équipements des forces armées afin de conserver une avance militaire et technologique face à la montée en puissance de la Chine.</w:t>
      </w:r>
    </w:p>
    <w:p w14:paraId="75EB9B84" w14:textId="0B460EF1" w:rsidR="005A2DBF" w:rsidRPr="00A002AA" w:rsidRDefault="005A2DBF" w:rsidP="006841F9">
      <w:pPr>
        <w:pStyle w:val="Corps"/>
      </w:pPr>
      <w:r w:rsidRPr="00A002AA">
        <w:t>La Chine, elle, a connu une augmentation constante sur les dix dernières années, de même que toute l’Asie</w:t>
      </w:r>
      <w:r>
        <w:t xml:space="preserve"> et l’Océanie</w:t>
      </w:r>
      <w:r w:rsidRPr="00A002AA">
        <w:t xml:space="preserve">. Cette augmentation a même été </w:t>
      </w:r>
      <w:r>
        <w:t>continue</w:t>
      </w:r>
      <w:r w:rsidRPr="00A002AA">
        <w:t xml:space="preserve"> </w:t>
      </w:r>
      <w:r>
        <w:t>depuis au moins 1989, date à laquelle le SIPRI dispose de données pour l’ensemble de la région</w:t>
      </w:r>
      <w:r w:rsidRPr="00A002AA">
        <w:t xml:space="preserve">. Cette augmentation des dépenses militaires est principalement tirée par la forte croissance économique qu’a connue la région. Toutefois, l’Asie n’est pas exempte de tensions </w:t>
      </w:r>
      <w:proofErr w:type="spellStart"/>
      <w:r w:rsidRPr="00A002AA">
        <w:t>intra-régionales</w:t>
      </w:r>
      <w:proofErr w:type="spellEnd"/>
      <w:r w:rsidR="009A283E">
        <w:t>,</w:t>
      </w:r>
      <w:r w:rsidRPr="00A002AA">
        <w:t xml:space="preserve"> </w:t>
      </w:r>
      <w:r w:rsidR="009A283E">
        <w:t>e</w:t>
      </w:r>
      <w:r w:rsidRPr="00A002AA">
        <w:t>ntre l’Inde et le Pakistan</w:t>
      </w:r>
      <w:r w:rsidR="009A283E">
        <w:t>,</w:t>
      </w:r>
      <w:r w:rsidRPr="00A002AA">
        <w:t xml:space="preserve"> entre la Corée du Nord et ses voisins</w:t>
      </w:r>
      <w:r>
        <w:t> </w:t>
      </w:r>
      <w:r w:rsidRPr="00A002AA">
        <w:t>; et les tensions sont également croissantes entre la Chine et son environnement immédiat, du fait de revendications opposées en mer de Chine de l’Est et mer de Chine du Sud.</w:t>
      </w:r>
    </w:p>
    <w:p w14:paraId="6ABA035F" w14:textId="19B7D80B" w:rsidR="005A2DBF" w:rsidRPr="00DD6321" w:rsidRDefault="005A2DBF" w:rsidP="006841F9">
      <w:pPr>
        <w:pStyle w:val="Corps"/>
      </w:pPr>
      <w:r w:rsidRPr="00A002AA">
        <w:t xml:space="preserve">La Russie et l’Arabie Saoudite font également partie du top 5. </w:t>
      </w:r>
      <w:r w:rsidRPr="00DD6321">
        <w:t>Ces deux États représentent une autre combinaison des principaux facteurs de dépenses militaires que sont les tensions et menaces perçues par les États d’une part, et les capacités économiques et financières d’autre part.</w:t>
      </w:r>
      <w:r w:rsidRPr="00A002AA">
        <w:t xml:space="preserve"> La Russie a au début de la décennie fortement augmenté ses dépenses, suite à la guerre contre la Géorgie en 2008, qui a fait prendre conscience aux autorités russes d’une nécessité de la modernisation de l’armée russe. Un plan de modernisation a ainsi été lancé, menant à une forte augmentation du budget de défense jusqu’en </w:t>
      </w:r>
      <w:r w:rsidRPr="00DD6321">
        <w:t>2015 (41</w:t>
      </w:r>
      <w:r w:rsidR="009A283E">
        <w:t> </w:t>
      </w:r>
      <w:r w:rsidRPr="00DD6321">
        <w:t xml:space="preserve">% par </w:t>
      </w:r>
      <w:r w:rsidRPr="00A002AA">
        <w:t xml:space="preserve">rapport à 2010). Toutefois, après 2014, un effondrement des prix du gaz et du pétrole </w:t>
      </w:r>
      <w:r>
        <w:t>a</w:t>
      </w:r>
      <w:r w:rsidRPr="00A002AA">
        <w:t xml:space="preserve"> limité les revenus du gouvernement russe. Entre 2015 et 2019, les dépenses ont ainsi diminué </w:t>
      </w:r>
      <w:r w:rsidRPr="00DD6321">
        <w:t>de 13</w:t>
      </w:r>
      <w:r w:rsidR="009A283E">
        <w:t> </w:t>
      </w:r>
      <w:r w:rsidRPr="00A002AA">
        <w:t>%. De la même manière, l’Arabie Saoudite, en rivalité avec l’Iran, et intervenant au Yémen, a poursuivi une augmentation de ses dépenses militaires, quoiqu’à un rythme moins soutenu depuis 2014-2015 également du fait de la baisse des cours du pétrole.</w:t>
      </w:r>
      <w:r>
        <w:t xml:space="preserve"> Son budget de défense était plus élevé de 14</w:t>
      </w:r>
      <w:r w:rsidR="009A283E">
        <w:t> </w:t>
      </w:r>
      <w:r>
        <w:t>% en 2019 par rapport au début de la décennie.</w:t>
      </w:r>
    </w:p>
    <w:p w14:paraId="7D204D6B" w14:textId="01362D20" w:rsidR="005A2DBF" w:rsidRPr="00A002AA" w:rsidRDefault="005A2DBF" w:rsidP="006841F9">
      <w:pPr>
        <w:pStyle w:val="Corps"/>
      </w:pPr>
      <w:r>
        <w:t>Ainsi, au-delà des aléas économiques, les régions et pays où les dépenses militaires ont le plus augmenté, en rythme de croissance, sont ce</w:t>
      </w:r>
      <w:r w:rsidR="00AC518E">
        <w:t>ux</w:t>
      </w:r>
      <w:r>
        <w:t xml:space="preserve"> où les tensions ont été les plus fortes (Asie, Moyen-Orient) ou bien sont réapparues récemment (comme en Europe). Cette évolution a en outre </w:t>
      </w:r>
      <w:r w:rsidRPr="00A002AA">
        <w:t xml:space="preserve">tiré la croissance des transferts d’armement dans le monde. Sur la période 2015-2019, les exportations d’armement ont augmenté </w:t>
      </w:r>
      <w:r w:rsidRPr="00A002AA">
        <w:lastRenderedPageBreak/>
        <w:t>de 5,5</w:t>
      </w:r>
      <w:r>
        <w:t> </w:t>
      </w:r>
      <w:r w:rsidRPr="00A002AA">
        <w:t>% par rapport à la période 2010-2014, d’après la base de données</w:t>
      </w:r>
      <w:r>
        <w:t xml:space="preserve"> sur les ventes d’armes</w:t>
      </w:r>
      <w:r w:rsidRPr="00A002AA">
        <w:t xml:space="preserve"> du SIPRI.</w:t>
      </w:r>
      <w:r>
        <w:rPr>
          <w:rStyle w:val="Appelnotedebasdep"/>
          <w:rFonts w:asciiTheme="majorHAnsi" w:eastAsia="Times New Roman" w:hAnsiTheme="majorHAnsi" w:cstheme="majorHAnsi"/>
          <w:lang w:eastAsia="en-GB"/>
        </w:rPr>
        <w:footnoteReference w:id="11"/>
      </w:r>
      <w:r w:rsidRPr="00A002AA">
        <w:t> </w:t>
      </w:r>
    </w:p>
    <w:p w14:paraId="5B46F004" w14:textId="7C01FC7C" w:rsidR="005A2DBF" w:rsidRPr="00A002AA" w:rsidRDefault="005A2DBF" w:rsidP="006841F9">
      <w:pPr>
        <w:pStyle w:val="Corps"/>
      </w:pPr>
      <w:r w:rsidRPr="00A002AA">
        <w:t>On retrouve les États dont les budgets de défense sont les plus importants parmi les principaux exportateurs</w:t>
      </w:r>
      <w:r>
        <w:t> </w:t>
      </w:r>
      <w:r w:rsidRPr="00A002AA">
        <w:t xml:space="preserve">: États-Unis, Russie, France, Allemagne, Chine. </w:t>
      </w:r>
      <w:r>
        <w:t>À</w:t>
      </w:r>
      <w:r w:rsidRPr="00A002AA">
        <w:t xml:space="preserve"> l’inverse, des États comme l’Inde ou l’Arabie Saoudite sont parmi les principaux importateurs. </w:t>
      </w:r>
    </w:p>
    <w:p w14:paraId="4B72A3E4" w14:textId="58516956" w:rsidR="005A2DBF" w:rsidRPr="00A002AA" w:rsidRDefault="005A2DBF" w:rsidP="006841F9">
      <w:pPr>
        <w:pStyle w:val="Corps"/>
      </w:pPr>
      <w:r w:rsidRPr="00A002AA">
        <w:t>Si les principaux exportateurs sont avant tout des pays aux capacités industrielles avancées, et à l’industrie de l’armement longuement établie (hormis dans le cas de la Chine, qui a fait un rattrapage spectaculaire suivant l’augmentation de sa croissance économique), les principaux importateurs sont non seulement des États riches</w:t>
      </w:r>
      <w:r w:rsidR="009A283E">
        <w:t>,</w:t>
      </w:r>
      <w:r w:rsidRPr="00A002AA">
        <w:t xml:space="preserve"> mais</w:t>
      </w:r>
      <w:r>
        <w:t xml:space="preserve"> également</w:t>
      </w:r>
      <w:r w:rsidRPr="00A002AA">
        <w:t xml:space="preserve"> ceux qui connaissent des tensions, ou qui ont une velléité </w:t>
      </w:r>
      <w:r>
        <w:t>d’étendre</w:t>
      </w:r>
      <w:r w:rsidRPr="00A002AA">
        <w:t xml:space="preserve"> leur influence régionale. Les cinq État</w:t>
      </w:r>
      <w:r>
        <w:t>s</w:t>
      </w:r>
      <w:r w:rsidRPr="00A002AA">
        <w:t xml:space="preserve"> ayant importé le plus d’armes sur les cinq dernières années sont l’Arabie Saoudite, l’Inde, l’Égypte, l’Australie et la Chine. La présence de l’Australie dans cette liste peut étonner. Il faut toutefois noter que depuis quelques années, comme le montre le Livre Blanc sur la défense publié en 2016, l’Australie cherche à réagir à un regain de tensions et de rivalité dans la zone Asie-Pacifique, notamment face à la Chine. Cela s’est traduit non seulement par une augmentation des budgets militaires</w:t>
      </w:r>
      <w:r w:rsidR="00AC518E">
        <w:t>,</w:t>
      </w:r>
      <w:r w:rsidRPr="00A002AA">
        <w:t xml:space="preserve"> mais également par un investissement dans son industrie de défense. Le contrat pour des sous-marins à propulsion conventionnelle avec la France annoncé en 2016 participe de cette stratégie.</w:t>
      </w:r>
    </w:p>
    <w:p w14:paraId="738D70E2" w14:textId="4A6CE691" w:rsidR="005A2DBF" w:rsidRPr="00A002AA" w:rsidRDefault="005A2DBF" w:rsidP="006841F9">
      <w:pPr>
        <w:pStyle w:val="Corps"/>
      </w:pPr>
      <w:r w:rsidRPr="00A002AA">
        <w:t>Les flux d’armes mondiaux se dirigent ainsi principalement vers l’Asie et l’Océanie (41</w:t>
      </w:r>
      <w:r w:rsidR="009A283E">
        <w:t> </w:t>
      </w:r>
      <w:r w:rsidRPr="00A002AA">
        <w:t>% du total des exportations sur la période 2015-19) et le Moyen-Orient (35</w:t>
      </w:r>
      <w:r w:rsidR="009A283E">
        <w:t> </w:t>
      </w:r>
      <w:r w:rsidRPr="00A002AA">
        <w:t>%).</w:t>
      </w:r>
      <w:r>
        <w:t xml:space="preserve"> </w:t>
      </w:r>
      <w:r w:rsidRPr="00A002AA">
        <w:t xml:space="preserve">Dans cette seconde région, les ventes d’armes peuvent alimenter des conflits en cours. C’est notamment le cas de la guerre au Yémen, où les principaux États engagés, l’Arabie Saoudite et les Émirats </w:t>
      </w:r>
      <w:r w:rsidR="00AC518E">
        <w:t>arabes u</w:t>
      </w:r>
      <w:r w:rsidRPr="00A002AA">
        <w:t>nis, continuent de recevoir des armes notamment de la part des États-Unis et des États européens.</w:t>
      </w:r>
    </w:p>
    <w:p w14:paraId="248586E2" w14:textId="166DE49E" w:rsidR="005A2DBF" w:rsidRPr="00A002AA" w:rsidRDefault="005A2DBF" w:rsidP="006841F9">
      <w:pPr>
        <w:pStyle w:val="Corps"/>
      </w:pPr>
      <w:r w:rsidRPr="00A002AA">
        <w:t xml:space="preserve">L’augmentation </w:t>
      </w:r>
      <w:r>
        <w:t xml:space="preserve">continue </w:t>
      </w:r>
      <w:r w:rsidRPr="00A002AA">
        <w:t>des dépenses militaires et des exportations d’armement</w:t>
      </w:r>
      <w:r>
        <w:t xml:space="preserve"> sur la dernière décennie</w:t>
      </w:r>
      <w:r w:rsidRPr="00A002AA">
        <w:t>, ainsi que l’émergence de nouveaux acteurs</w:t>
      </w:r>
      <w:r w:rsidR="009A283E">
        <w:t>,</w:t>
      </w:r>
      <w:r w:rsidRPr="00A002AA">
        <w:t xml:space="preserve"> </w:t>
      </w:r>
      <w:r w:rsidRPr="00A2741E">
        <w:t xml:space="preserve">permet de mieux comprendre le contexte des tentatives actuelles de régulation, leurs enjeux et difficultés. </w:t>
      </w:r>
    </w:p>
    <w:p w14:paraId="214EEBCF" w14:textId="4BC32981" w:rsidR="005A2DBF" w:rsidRPr="00A002AA" w:rsidRDefault="00935F9D" w:rsidP="006841F9">
      <w:pPr>
        <w:pStyle w:val="VDIIntertitre"/>
      </w:pPr>
      <w:r>
        <w:rPr>
          <w:shd w:val="clear" w:color="auto" w:fill="FFFFFF"/>
        </w:rPr>
        <w:lastRenderedPageBreak/>
        <w:t>La difficile régulation du commerce des armes</w:t>
      </w:r>
    </w:p>
    <w:p w14:paraId="6BB91EF1" w14:textId="3CE7E315" w:rsidR="005A2DBF" w:rsidRPr="00A2741E" w:rsidRDefault="005A2DBF" w:rsidP="006841F9">
      <w:pPr>
        <w:pStyle w:val="Corps"/>
      </w:pPr>
      <w:r w:rsidRPr="00A002AA">
        <w:t>Face aux risques associés au commerce des armes, quelles solutions</w:t>
      </w:r>
      <w:r>
        <w:t> </w:t>
      </w:r>
      <w:r w:rsidRPr="00A002AA">
        <w:t xml:space="preserve">? La régulation du commerce des armes </w:t>
      </w:r>
      <w:r w:rsidRPr="00A2741E">
        <w:t xml:space="preserve">conventionnelles </w:t>
      </w:r>
      <w:r w:rsidRPr="00A002AA">
        <w:t xml:space="preserve">a pris des formes différentes pendant l’histoire, ciblant divers types d’armes, et optant pour des instruments divers </w:t>
      </w:r>
      <w:r w:rsidR="002C2DA9">
        <w:t>–</w:t>
      </w:r>
      <w:r w:rsidRPr="00A002AA">
        <w:t xml:space="preserve"> mais jusque</w:t>
      </w:r>
      <w:r>
        <w:t>-</w:t>
      </w:r>
      <w:r w:rsidRPr="00A002AA">
        <w:t xml:space="preserve">là non coercitifs pour les États. </w:t>
      </w:r>
    </w:p>
    <w:p w14:paraId="37E4ECFA" w14:textId="33AEEB59" w:rsidR="005A2DBF" w:rsidRPr="00A2741E" w:rsidRDefault="005A2DBF" w:rsidP="006841F9">
      <w:pPr>
        <w:pStyle w:val="Corps"/>
      </w:pPr>
      <w:r w:rsidRPr="00A2741E">
        <w:t>Au niveau de l’Union européenne, les États</w:t>
      </w:r>
      <w:r>
        <w:t xml:space="preserve"> </w:t>
      </w:r>
      <w:r w:rsidRPr="00A2741E">
        <w:t xml:space="preserve">membres se sont dotés </w:t>
      </w:r>
      <w:r>
        <w:t>de différentes mesures relatives au contrôle des exportations d’armement. À la suite d’un code de conduite en 1998 qu’</w:t>
      </w:r>
      <w:proofErr w:type="spellStart"/>
      <w:r>
        <w:t>ONGs</w:t>
      </w:r>
      <w:proofErr w:type="spellEnd"/>
      <w:r>
        <w:t xml:space="preserve"> et Parlement européen trouvaient trop ambigu et peu contraignant, les </w:t>
      </w:r>
      <w:r w:rsidR="002C2DA9">
        <w:t>États</w:t>
      </w:r>
      <w:r>
        <w:t xml:space="preserve"> ont adopté une Position </w:t>
      </w:r>
      <w:r w:rsidR="00AC518E">
        <w:t>C</w:t>
      </w:r>
      <w:r>
        <w:t xml:space="preserve">ommune en 2008, amendée récemment en 2019. L’objectif de ces textes est de permettre aux États d’harmoniser progressivement leurs politiques d’exportations nationales et ce vers un modèle plus transparent et respectueux des valeurs de l’Union (via l’édiction de critères devant être respectés par les exportations, mettant l’accent sur le respect des droits humains). </w:t>
      </w:r>
      <w:r w:rsidR="00DC1AAE">
        <w:t xml:space="preserve">Le Parlement européen est un allié des </w:t>
      </w:r>
      <w:proofErr w:type="spellStart"/>
      <w:r w:rsidR="00DC1AAE">
        <w:t>ONGs</w:t>
      </w:r>
      <w:proofErr w:type="spellEnd"/>
      <w:r w:rsidR="00DC1AAE">
        <w:t xml:space="preserve"> pour plus de contrôle. </w:t>
      </w:r>
      <w:r w:rsidRPr="00A2741E">
        <w:t xml:space="preserve">Au niveau global, </w:t>
      </w:r>
      <w:r>
        <w:t>l’adoption</w:t>
      </w:r>
      <w:r w:rsidRPr="00A2741E">
        <w:t xml:space="preserve"> </w:t>
      </w:r>
      <w:r>
        <w:t xml:space="preserve">en 2013 </w:t>
      </w:r>
      <w:r w:rsidRPr="00A2741E">
        <w:t xml:space="preserve">du </w:t>
      </w:r>
      <w:r w:rsidRPr="00A002AA">
        <w:t>Traité sur le Commerce des Armes (TCA</w:t>
      </w:r>
      <w:r w:rsidRPr="00A2741E">
        <w:t xml:space="preserve"> </w:t>
      </w:r>
      <w:r>
        <w:t xml:space="preserve">ou </w:t>
      </w:r>
      <w:r w:rsidRPr="00A2741E">
        <w:t>ATT</w:t>
      </w:r>
      <w:r>
        <w:t xml:space="preserve">, </w:t>
      </w:r>
      <w:r w:rsidRPr="00A2741E">
        <w:t xml:space="preserve">Arms Trade </w:t>
      </w:r>
      <w:proofErr w:type="spellStart"/>
      <w:r w:rsidRPr="00A2741E">
        <w:t>Treaty</w:t>
      </w:r>
      <w:proofErr w:type="spellEnd"/>
      <w:r w:rsidRPr="00A2741E">
        <w:t>)</w:t>
      </w:r>
      <w:r>
        <w:t xml:space="preserve"> par l’Assemblée générale des Nations Unies, entré</w:t>
      </w:r>
      <w:r w:rsidRPr="00A2741E">
        <w:t xml:space="preserve"> </w:t>
      </w:r>
      <w:r>
        <w:t>en vigueur en 2014 et ayant actuellement 110 membres, est</w:t>
      </w:r>
      <w:r w:rsidRPr="00A2741E">
        <w:t xml:space="preserve"> saluée comme </w:t>
      </w:r>
      <w:r>
        <w:t>une</w:t>
      </w:r>
      <w:r w:rsidRPr="00A2741E">
        <w:t xml:space="preserve"> avancée</w:t>
      </w:r>
      <w:r>
        <w:t xml:space="preserve"> </w:t>
      </w:r>
      <w:r w:rsidRPr="00A2741E">
        <w:t>majeure</w:t>
      </w:r>
      <w:r w:rsidR="00DC1AAE">
        <w:t xml:space="preserve"> : il a pour objectif de mieux encadrer le commerce des armes, et notamment d’en prévenir le trafic illicite, par l’adoption de standards communs contraignants. </w:t>
      </w:r>
      <w:r>
        <w:t xml:space="preserve"> </w:t>
      </w:r>
      <w:r w:rsidR="00DC1AAE">
        <w:t xml:space="preserve">L’entrée en vigueur de ce traité ne doit </w:t>
      </w:r>
      <w:r w:rsidR="0096374E">
        <w:t xml:space="preserve">toutefois </w:t>
      </w:r>
      <w:r w:rsidR="00DC1AAE">
        <w:t>pas cacher sa nature contestée</w:t>
      </w:r>
      <w:r w:rsidR="009A44D3">
        <w:t>.</w:t>
      </w:r>
      <w:r w:rsidR="00DC1AAE">
        <w:t xml:space="preserve"> </w:t>
      </w:r>
      <w:r w:rsidR="0096374E">
        <w:t>P</w:t>
      </w:r>
      <w:r w:rsidR="009A44D3">
        <w:t xml:space="preserve">orté par la société civile dès le début des années 2000, </w:t>
      </w:r>
      <w:r w:rsidR="0096374E">
        <w:t>il est ensuite</w:t>
      </w:r>
      <w:r w:rsidR="009A44D3">
        <w:t xml:space="preserve"> </w:t>
      </w:r>
      <w:r w:rsidR="00DC1AAE">
        <w:t xml:space="preserve">difficilement </w:t>
      </w:r>
      <w:r w:rsidR="000B591B">
        <w:t>sept années durant</w:t>
      </w:r>
      <w:r w:rsidR="00D70DD6">
        <w:t xml:space="preserve">, bloqué un temps par les </w:t>
      </w:r>
      <w:proofErr w:type="spellStart"/>
      <w:r w:rsidR="00AC518E">
        <w:t>E</w:t>
      </w:r>
      <w:r w:rsidR="00D70DD6">
        <w:t>tats-Unis</w:t>
      </w:r>
      <w:proofErr w:type="spellEnd"/>
      <w:r w:rsidR="00D70DD6">
        <w:t xml:space="preserve"> </w:t>
      </w:r>
      <w:r w:rsidR="00CB76E1">
        <w:t>aux côtés de</w:t>
      </w:r>
      <w:r w:rsidR="00D70DD6">
        <w:t xml:space="preserve"> la Russie, de la Corée du Nord, de Cuba et du </w:t>
      </w:r>
      <w:proofErr w:type="spellStart"/>
      <w:r w:rsidR="00D70DD6">
        <w:t>Vénézu</w:t>
      </w:r>
      <w:r w:rsidR="00AC518E">
        <w:t>é</w:t>
      </w:r>
      <w:r w:rsidR="00D70DD6">
        <w:t>la</w:t>
      </w:r>
      <w:proofErr w:type="spellEnd"/>
      <w:r w:rsidR="000B591B">
        <w:t>.</w:t>
      </w:r>
      <w:r w:rsidR="000B591B">
        <w:rPr>
          <w:rStyle w:val="Appelnotedebasdep"/>
        </w:rPr>
        <w:footnoteReference w:id="12"/>
      </w:r>
      <w:r w:rsidR="000B591B">
        <w:t xml:space="preserve"> Les deux principaux </w:t>
      </w:r>
      <w:r w:rsidR="00AC518E">
        <w:t>É</w:t>
      </w:r>
      <w:r w:rsidR="000B591B">
        <w:t xml:space="preserve">tats exportateurs, les </w:t>
      </w:r>
      <w:proofErr w:type="spellStart"/>
      <w:r w:rsidR="00AC518E">
        <w:t>E</w:t>
      </w:r>
      <w:r w:rsidR="000B591B">
        <w:t>tats-Unis</w:t>
      </w:r>
      <w:proofErr w:type="spellEnd"/>
      <w:r w:rsidR="000B591B">
        <w:t xml:space="preserve"> et la Russie, n’ont toujours pas ratifié</w:t>
      </w:r>
      <w:r w:rsidR="00B75C30">
        <w:t xml:space="preserve"> le </w:t>
      </w:r>
      <w:r w:rsidR="00A13C81">
        <w:t>texte</w:t>
      </w:r>
      <w:r w:rsidR="000B591B">
        <w:t xml:space="preserve">, tandis que la Chine a franchi le pas en 2020. </w:t>
      </w:r>
    </w:p>
    <w:p w14:paraId="6ACE1D84" w14:textId="5F704BFD" w:rsidR="005A2DBF" w:rsidRDefault="005A2DBF" w:rsidP="006841F9">
      <w:pPr>
        <w:pStyle w:val="Corps"/>
      </w:pPr>
      <w:r>
        <w:t xml:space="preserve">Malgré ces </w:t>
      </w:r>
      <w:r w:rsidR="00925C25">
        <w:t>traités</w:t>
      </w:r>
      <w:r>
        <w:t xml:space="preserve">, les </w:t>
      </w:r>
      <w:r w:rsidR="002C2DA9">
        <w:t>États</w:t>
      </w:r>
      <w:r>
        <w:t xml:space="preserve"> bénéficient encore d’une large marge de manœuvre dans la conduite de leurs exportations et l’appréciation des critères politiques, comme l’</w:t>
      </w:r>
      <w:r w:rsidR="00AC518E">
        <w:t>a</w:t>
      </w:r>
      <w:r>
        <w:t xml:space="preserve"> montré la poursuite pour un temps des exportations d’armement en direction de la Libye ou de l’Arabie Saoudite</w:t>
      </w:r>
      <w:r>
        <w:rPr>
          <w:rStyle w:val="Appelnotedebasdep"/>
          <w:rFonts w:asciiTheme="majorHAnsi" w:eastAsia="Times New Roman" w:hAnsiTheme="majorHAnsi" w:cstheme="majorHAnsi"/>
          <w:lang w:eastAsia="en-GB"/>
        </w:rPr>
        <w:footnoteReference w:id="13"/>
      </w:r>
      <w:r>
        <w:t xml:space="preserve">. Plusieurs facteurs expliquent ces difficultés à réguler </w:t>
      </w:r>
      <w:r>
        <w:lastRenderedPageBreak/>
        <w:t xml:space="preserve">le commerce des armes. Nous en examinons ici certains </w:t>
      </w:r>
      <w:r w:rsidR="00245BA7">
        <w:t xml:space="preserve">de nature politique </w:t>
      </w:r>
      <w:r>
        <w:t>qui</w:t>
      </w:r>
      <w:r w:rsidR="00245BA7">
        <w:t xml:space="preserve"> </w:t>
      </w:r>
      <w:r>
        <w:t xml:space="preserve">sont liés </w:t>
      </w:r>
      <w:r w:rsidR="00245BA7">
        <w:t xml:space="preserve">au type de commerce et à la forme de sa régulation, </w:t>
      </w:r>
      <w:r w:rsidR="00501904">
        <w:t>ainsi d’autres facteurs liés</w:t>
      </w:r>
      <w:r>
        <w:t xml:space="preserve"> évolutions du paysage des entreprises de défense et sécurité. </w:t>
      </w:r>
    </w:p>
    <w:p w14:paraId="081A15F8" w14:textId="77777777" w:rsidR="005A2DBF" w:rsidRDefault="005A2DBF" w:rsidP="006841F9">
      <w:pPr>
        <w:pStyle w:val="Corps"/>
      </w:pPr>
    </w:p>
    <w:p w14:paraId="004F42A0" w14:textId="39E339C3" w:rsidR="005A2DBF" w:rsidRPr="00242F24" w:rsidRDefault="005A2DBF" w:rsidP="006841F9">
      <w:pPr>
        <w:pStyle w:val="Corps"/>
        <w:ind w:firstLine="0"/>
        <w:rPr>
          <w:b/>
          <w:bCs/>
          <w:i/>
          <w:iCs/>
        </w:rPr>
      </w:pPr>
      <w:r w:rsidRPr="00242F24">
        <w:rPr>
          <w:b/>
          <w:bCs/>
          <w:i/>
          <w:iCs/>
        </w:rPr>
        <w:t>Un</w:t>
      </w:r>
      <w:r w:rsidR="00E73F98">
        <w:rPr>
          <w:b/>
          <w:bCs/>
          <w:i/>
          <w:iCs/>
        </w:rPr>
        <w:t xml:space="preserve"> commerce lié </w:t>
      </w:r>
      <w:r w:rsidR="005F2C9B">
        <w:rPr>
          <w:b/>
          <w:bCs/>
          <w:i/>
          <w:iCs/>
        </w:rPr>
        <w:t>à de fortes coalitions d’intérêts</w:t>
      </w:r>
      <w:r w:rsidR="00E73F98">
        <w:rPr>
          <w:b/>
          <w:bCs/>
          <w:i/>
          <w:iCs/>
        </w:rPr>
        <w:t>, pour une</w:t>
      </w:r>
      <w:r w:rsidRPr="00242F24">
        <w:rPr>
          <w:b/>
          <w:bCs/>
          <w:i/>
          <w:iCs/>
        </w:rPr>
        <w:t xml:space="preserve"> régulation trop peu contraignante</w:t>
      </w:r>
    </w:p>
    <w:p w14:paraId="49932639" w14:textId="3D85BE24" w:rsidR="00E73F98" w:rsidRDefault="00E73F98" w:rsidP="00C3653A">
      <w:pPr>
        <w:pStyle w:val="Corps"/>
      </w:pPr>
      <w:r>
        <w:t>Le</w:t>
      </w:r>
      <w:r w:rsidR="00455B3D">
        <w:t xml:space="preserve">s difficultés à gouverner le commerce des armes au niveau national et plus encore à le réguler au niveau international trouvent pour partie leur explication dans la nature même de leur objet et son inscription au cœur des </w:t>
      </w:r>
      <w:r w:rsidR="00AC518E">
        <w:t>É</w:t>
      </w:r>
      <w:r w:rsidR="00455B3D">
        <w:t>tats</w:t>
      </w:r>
      <w:r w:rsidR="00032BA4">
        <w:rPr>
          <w:rStyle w:val="Appelnotedebasdep"/>
        </w:rPr>
        <w:footnoteReference w:id="14"/>
      </w:r>
      <w:r w:rsidR="00455B3D">
        <w:t xml:space="preserve">. Les processus historiques de </w:t>
      </w:r>
      <w:r w:rsidR="00455B3D" w:rsidRPr="00074E9A">
        <w:t>monopolisation de la violence physique légitime</w:t>
      </w:r>
      <w:r w:rsidR="00455B3D">
        <w:t> </w:t>
      </w:r>
      <w:r w:rsidR="00E02D38">
        <w:t>étudiés par Max Weber sont une première piste pour éclairer la situation particulière des industries de défense par rapport à d’autres secteurs. Leurs activités de production sont très encadrées (par le droit de port et possession d’armes, par les règles d’importation/exportation</w:t>
      </w:r>
      <w:r w:rsidR="005F2C9B">
        <w:t>, par les règles d’usage des armements</w:t>
      </w:r>
      <w:r w:rsidR="00074E9A">
        <w:t xml:space="preserve"> entre </w:t>
      </w:r>
      <w:r w:rsidR="00AC518E">
        <w:t>É</w:t>
      </w:r>
      <w:r w:rsidR="00074E9A">
        <w:t>tats</w:t>
      </w:r>
      <w:r w:rsidR="00E02D38">
        <w:t xml:space="preserve">) et dépendent </w:t>
      </w:r>
      <w:r w:rsidR="005F2C9B">
        <w:t xml:space="preserve">des commandes publiques de leur gouvernement </w:t>
      </w:r>
      <w:r w:rsidR="00074E9A">
        <w:t>et/</w:t>
      </w:r>
      <w:r w:rsidR="005F2C9B">
        <w:t xml:space="preserve">ou des exportations. En ce sens, les </w:t>
      </w:r>
      <w:proofErr w:type="spellStart"/>
      <w:r w:rsidR="005F2C9B">
        <w:t>Etats</w:t>
      </w:r>
      <w:proofErr w:type="spellEnd"/>
      <w:r w:rsidR="005F2C9B">
        <w:t xml:space="preserve"> ayant des industries de défense ont un fort intérêt à leur survie et succès : ces industries de défense produisent les outils de la puissance militaire d’un État, et au-delà, elles constituent des sources de revenus et d’emploi. Cette relation de </w:t>
      </w:r>
      <w:proofErr w:type="spellStart"/>
      <w:r w:rsidR="005F2C9B">
        <w:t>co</w:t>
      </w:r>
      <w:proofErr w:type="spellEnd"/>
      <w:r w:rsidR="005F2C9B">
        <w:t>-dépend</w:t>
      </w:r>
      <w:r w:rsidR="00B50C64">
        <w:t>a</w:t>
      </w:r>
      <w:r w:rsidR="005F2C9B">
        <w:t>nce a été notamment soulignée via le concept de complexe militaro-industriel et par les approches matérialistes historiques</w:t>
      </w:r>
      <w:r w:rsidR="005F2C9B">
        <w:rPr>
          <w:rStyle w:val="Appelnotedebasdep"/>
        </w:rPr>
        <w:footnoteReference w:id="15"/>
      </w:r>
      <w:r w:rsidR="00074E9A">
        <w:t xml:space="preserve">. </w:t>
      </w:r>
      <w:r w:rsidR="00B50C64">
        <w:t>C</w:t>
      </w:r>
      <w:r w:rsidR="00C3653A">
        <w:t xml:space="preserve">ontraindre le commerce des armes est </w:t>
      </w:r>
      <w:r w:rsidR="00B50C64">
        <w:t xml:space="preserve">donc </w:t>
      </w:r>
      <w:r w:rsidR="00C3653A">
        <w:t xml:space="preserve">difficile en raison des intérêts partagés entre </w:t>
      </w:r>
      <w:r w:rsidR="00AC518E">
        <w:t>É</w:t>
      </w:r>
      <w:r w:rsidR="00C3653A">
        <w:t xml:space="preserve">tats producteurs et industries, mais aussi de l’opacité de ce secteur, justifié par </w:t>
      </w:r>
      <w:r w:rsidR="00B50C64">
        <w:t xml:space="preserve">sa </w:t>
      </w:r>
      <w:r w:rsidR="00C3653A">
        <w:t xml:space="preserve">dimension stratégique. </w:t>
      </w:r>
    </w:p>
    <w:p w14:paraId="7BBB965D" w14:textId="700B228B" w:rsidR="005A2DBF" w:rsidRDefault="00CD3196" w:rsidP="006841F9">
      <w:pPr>
        <w:pStyle w:val="Corps"/>
      </w:pPr>
      <w:r>
        <w:t xml:space="preserve">Pourquoi alors les </w:t>
      </w:r>
      <w:r w:rsidR="00AC518E">
        <w:t>É</w:t>
      </w:r>
      <w:r>
        <w:t xml:space="preserve">tats adoptent-ils des traités contraignants au niveau international, et quel est l’impact réel de ces derniers ? </w:t>
      </w:r>
      <w:r w:rsidR="005A2DBF" w:rsidRPr="00A002AA">
        <w:t>Si les intérêts économiques des États exportateurs sont souvent mobilisés pour expliquer le manque ou la faiblesse des cadres de régulation</w:t>
      </w:r>
      <w:r w:rsidR="00925C25">
        <w:t>,</w:t>
      </w:r>
      <w:r w:rsidR="005A2DBF" w:rsidRPr="00A002AA">
        <w:t xml:space="preserve"> ce sont aussi les normes </w:t>
      </w:r>
      <w:r w:rsidR="002C2DA9">
        <w:t>–</w:t>
      </w:r>
      <w:r w:rsidR="005A2DBF" w:rsidRPr="00A002AA">
        <w:t xml:space="preserve"> notamment la réputation internationale</w:t>
      </w:r>
      <w:r w:rsidR="005A2DBF" w:rsidRPr="00A2741E">
        <w:rPr>
          <w:rStyle w:val="Appelnotedebasdep"/>
          <w:rFonts w:asciiTheme="majorHAnsi" w:eastAsia="Times New Roman" w:hAnsiTheme="majorHAnsi" w:cstheme="majorHAnsi"/>
          <w:lang w:eastAsia="en-GB"/>
        </w:rPr>
        <w:footnoteReference w:id="16"/>
      </w:r>
      <w:r w:rsidR="005A2DBF" w:rsidRPr="00A002AA">
        <w:t xml:space="preserve"> </w:t>
      </w:r>
      <w:r w:rsidR="002C2DA9">
        <w:t>–</w:t>
      </w:r>
      <w:r w:rsidR="005A2DBF" w:rsidRPr="00A002AA">
        <w:t xml:space="preserve"> qui influencent l’adoption par les </w:t>
      </w:r>
      <w:r w:rsidR="002C2DA9" w:rsidRPr="00A002AA">
        <w:t>États</w:t>
      </w:r>
      <w:r w:rsidR="005A2DBF" w:rsidRPr="00A002AA">
        <w:t xml:space="preserve"> de ces cadres de régulation </w:t>
      </w:r>
      <w:r w:rsidR="005A2DBF">
        <w:lastRenderedPageBreak/>
        <w:t>et</w:t>
      </w:r>
      <w:r w:rsidR="005A2DBF" w:rsidRPr="00A002AA">
        <w:t xml:space="preserve"> leur mise en œuvre.</w:t>
      </w:r>
      <w:r w:rsidR="005A2DBF">
        <w:t xml:space="preserve"> Ces facteurs éclairent tant les difficultés des normes européennes que </w:t>
      </w:r>
      <w:r w:rsidR="007529A2">
        <w:t xml:space="preserve">celles </w:t>
      </w:r>
      <w:r w:rsidR="005A2DBF">
        <w:t xml:space="preserve">du TCA. </w:t>
      </w:r>
    </w:p>
    <w:p w14:paraId="66846E5D" w14:textId="52D6BD3F" w:rsidR="005A2DBF" w:rsidRDefault="005A2DBF" w:rsidP="006841F9">
      <w:pPr>
        <w:pStyle w:val="Corps"/>
      </w:pPr>
      <w:r>
        <w:t xml:space="preserve">Une première critique vient en effet viser la nature trop peu contraignante de ces traités, qui sont adoptés pour des enjeux </w:t>
      </w:r>
      <w:proofErr w:type="spellStart"/>
      <w:r>
        <w:t>réputationnels</w:t>
      </w:r>
      <w:proofErr w:type="spellEnd"/>
      <w:r>
        <w:t xml:space="preserve">, mais qui </w:t>
      </w:r>
      <w:r w:rsidR="007529A2">
        <w:t>laissent une marge d’interprétation souple pour</w:t>
      </w:r>
      <w:r>
        <w:t xml:space="preserve"> les États. C’est notamment le cas pour la régulation européenne, qui n’a pas permis jusque-là de convergence entre </w:t>
      </w:r>
      <w:r w:rsidR="002C2DA9">
        <w:t>États</w:t>
      </w:r>
      <w:r w:rsidR="00AC518E">
        <w:t xml:space="preserve"> </w:t>
      </w:r>
      <w:r w:rsidR="006249C1">
        <w:t>membres</w:t>
      </w:r>
      <w:r>
        <w:t xml:space="preserve">. Ce manque d’influence est visible dans la diversité des positions des </w:t>
      </w:r>
      <w:r w:rsidR="002C2DA9">
        <w:t>États</w:t>
      </w:r>
      <w:r>
        <w:t xml:space="preserve"> lors des printemps arabes ou encore du conflit au </w:t>
      </w:r>
      <w:r w:rsidR="002C2DA9">
        <w:t>Yémen</w:t>
      </w:r>
      <w:r>
        <w:t>. Ici, la solution serait le développement d’outils</w:t>
      </w:r>
      <w:r w:rsidR="006249C1">
        <w:t xml:space="preserve"> plus</w:t>
      </w:r>
      <w:r>
        <w:t xml:space="preserve"> contraignants ou de normes rendant plus désirable la mise en œuvre des traités par les </w:t>
      </w:r>
      <w:r w:rsidR="002C2DA9">
        <w:t>États</w:t>
      </w:r>
      <w:r>
        <w:t xml:space="preserve">. </w:t>
      </w:r>
    </w:p>
    <w:p w14:paraId="018AC253" w14:textId="0B905177" w:rsidR="005A2DBF" w:rsidRDefault="005A2DBF" w:rsidP="006841F9">
      <w:pPr>
        <w:pStyle w:val="Corps"/>
      </w:pPr>
      <w:r>
        <w:t>Une autre critique vise plus fondamentalement la signification de ces traités dans une compréhension plus générale de l’évolution du commerce des armes. Les traités ne sont pas considérés ici comme la victoire de la cause humanitaire</w:t>
      </w:r>
      <w:r w:rsidR="00AC518E">
        <w:t>,</w:t>
      </w:r>
      <w:r>
        <w:t xml:space="preserve"> mais</w:t>
      </w:r>
      <w:r w:rsidR="002C2DA9">
        <w:t>,</w:t>
      </w:r>
      <w:r>
        <w:t xml:space="preserve"> au contraire, comme un mécanisme </w:t>
      </w:r>
      <w:r w:rsidR="0078149D">
        <w:t>de reproduction du</w:t>
      </w:r>
      <w:r>
        <w:t xml:space="preserve"> militarisme libéral : parce qu’elles se prévalent de valeurs humanitaires et libérales, ces régulations permettraient de légitimer les politiques d’exportations des pays producteurs</w:t>
      </w:r>
      <w:r>
        <w:rPr>
          <w:rStyle w:val="Appelnotedebasdep"/>
          <w:rFonts w:asciiTheme="majorHAnsi" w:eastAsia="Times New Roman" w:hAnsiTheme="majorHAnsi" w:cstheme="majorHAnsi"/>
          <w:lang w:eastAsia="en-GB"/>
        </w:rPr>
        <w:footnoteReference w:id="17"/>
      </w:r>
      <w:r>
        <w:t xml:space="preserve">. En ce sens, </w:t>
      </w:r>
      <w:r w:rsidR="0078149D">
        <w:t xml:space="preserve">une mise en œuvre irrespectueuse des normes affichées n’est pas une anomalie, </w:t>
      </w:r>
      <w:r>
        <w:t xml:space="preserve">rectifiable par des critères plus contraignants, mais constitue la condition </w:t>
      </w:r>
      <w:r w:rsidR="0078149D">
        <w:t>d’existence du traité</w:t>
      </w:r>
      <w:r w:rsidR="00CD3196">
        <w:rPr>
          <w:rStyle w:val="Appelnotedebasdep"/>
        </w:rPr>
        <w:footnoteReference w:id="18"/>
      </w:r>
      <w:r w:rsidR="0078149D">
        <w:t xml:space="preserve">, </w:t>
      </w:r>
      <w:r>
        <w:t xml:space="preserve">de </w:t>
      </w:r>
      <w:r w:rsidR="0078149D">
        <w:t>sa</w:t>
      </w:r>
      <w:r>
        <w:t xml:space="preserve"> signature et </w:t>
      </w:r>
      <w:r w:rsidR="0078149D">
        <w:t xml:space="preserve">de sa </w:t>
      </w:r>
      <w:r>
        <w:t>ratification</w:t>
      </w:r>
      <w:r w:rsidR="0078149D">
        <w:t xml:space="preserve"> par les </w:t>
      </w:r>
      <w:r w:rsidR="00AC518E">
        <w:t>É</w:t>
      </w:r>
      <w:r w:rsidR="0078149D">
        <w:t>tats</w:t>
      </w:r>
      <w:r w:rsidR="00CB3A89">
        <w:t xml:space="preserve"> les plus</w:t>
      </w:r>
      <w:r w:rsidR="0078149D">
        <w:t xml:space="preserve"> puissants</w:t>
      </w:r>
      <w:r>
        <w:t xml:space="preserve">. </w:t>
      </w:r>
    </w:p>
    <w:p w14:paraId="434DAA24" w14:textId="77777777" w:rsidR="005A2DBF" w:rsidRPr="00A002AA" w:rsidRDefault="005A2DBF" w:rsidP="006841F9">
      <w:pPr>
        <w:pStyle w:val="Corps"/>
      </w:pPr>
    </w:p>
    <w:p w14:paraId="15850591" w14:textId="77777777" w:rsidR="005A2DBF" w:rsidRPr="003A6848" w:rsidRDefault="005A2DBF" w:rsidP="00CD3196">
      <w:pPr>
        <w:pStyle w:val="Corps"/>
        <w:ind w:firstLine="0"/>
        <w:rPr>
          <w:i/>
          <w:iCs/>
        </w:rPr>
      </w:pPr>
      <w:r w:rsidRPr="003A6848">
        <w:rPr>
          <w:b/>
          <w:bCs/>
          <w:i/>
          <w:iCs/>
        </w:rPr>
        <w:t>Un phénomène de diversification des pôles de production d’armement qui complique la régulation </w:t>
      </w:r>
    </w:p>
    <w:p w14:paraId="2B334C7E" w14:textId="77777777" w:rsidR="005A2DBF" w:rsidRPr="00A002AA" w:rsidRDefault="005A2DBF" w:rsidP="006841F9">
      <w:pPr>
        <w:pStyle w:val="Corps"/>
      </w:pPr>
    </w:p>
    <w:p w14:paraId="6A0A35D1" w14:textId="547C6B04" w:rsidR="005A2DBF" w:rsidRPr="00A002AA" w:rsidRDefault="005A2DBF" w:rsidP="006841F9">
      <w:pPr>
        <w:pStyle w:val="Corps"/>
      </w:pPr>
      <w:r w:rsidRPr="00A002AA">
        <w:t xml:space="preserve">La régulation </w:t>
      </w:r>
      <w:r>
        <w:t>du commerce des armes</w:t>
      </w:r>
      <w:r w:rsidRPr="00A002AA">
        <w:t xml:space="preserve">, malgré les progrès accomplis ces dernières années, est </w:t>
      </w:r>
      <w:r>
        <w:t>en outre</w:t>
      </w:r>
      <w:r w:rsidRPr="00A002AA">
        <w:t xml:space="preserve"> rendue de plus en plus difficile par la diversification des pôles de production. On constate en effet l’avancement des capacités industrielles et technologiques dans de nombreux endroits dans le monde, les </w:t>
      </w:r>
      <w:r w:rsidR="002C2DA9" w:rsidRPr="00A002AA">
        <w:t>États</w:t>
      </w:r>
      <w:r w:rsidRPr="00A002AA">
        <w:t xml:space="preserve"> souhaitant acquérir ces capacités par eux-mêmes plutôt que de rester dépendant</w:t>
      </w:r>
      <w:r>
        <w:t>s</w:t>
      </w:r>
      <w:r w:rsidRPr="00A002AA">
        <w:t xml:space="preserve"> des importations. Ce phénomène a été qualifié de </w:t>
      </w:r>
      <w:r w:rsidR="002C2DA9">
        <w:t>« </w:t>
      </w:r>
      <w:r w:rsidRPr="00A002AA">
        <w:t>techno-nationalisme</w:t>
      </w:r>
      <w:r w:rsidR="002C2DA9">
        <w:t> »</w:t>
      </w:r>
      <w:r w:rsidRPr="00A002AA">
        <w:t xml:space="preserve"> dans le cas des </w:t>
      </w:r>
      <w:r w:rsidRPr="00A002AA">
        <w:lastRenderedPageBreak/>
        <w:t>pays asiatiques,</w:t>
      </w:r>
      <w:r>
        <w:rPr>
          <w:rStyle w:val="Appelnotedebasdep"/>
          <w:rFonts w:asciiTheme="majorHAnsi" w:eastAsia="Times New Roman" w:hAnsiTheme="majorHAnsi" w:cstheme="majorHAnsi"/>
          <w:lang w:eastAsia="en-GB"/>
        </w:rPr>
        <w:footnoteReference w:id="19"/>
      </w:r>
      <w:r w:rsidRPr="00A002AA">
        <w:t xml:space="preserve"> mais ce terme peut s’appliquer à d’autres </w:t>
      </w:r>
      <w:r w:rsidR="002C2DA9" w:rsidRPr="00A002AA">
        <w:t>États</w:t>
      </w:r>
      <w:r w:rsidRPr="00A002AA">
        <w:t xml:space="preserve"> cherchant à développer leur propre industrie de défense.</w:t>
      </w:r>
    </w:p>
    <w:p w14:paraId="24BF8E09" w14:textId="05C38CFA" w:rsidR="005A2DBF" w:rsidRPr="00A002AA" w:rsidRDefault="005A2DBF" w:rsidP="006841F9">
      <w:pPr>
        <w:pStyle w:val="Corps"/>
      </w:pPr>
      <w:r w:rsidRPr="00A002AA">
        <w:t>On observe ainsi la diversification des pays d’origine des cent plus importantes entreprises de défense dans le monde</w:t>
      </w:r>
      <w:r>
        <w:t>, d’après la base de données dédiée du SIPRI</w:t>
      </w:r>
      <w:r w:rsidRPr="00A002AA">
        <w:t>.</w:t>
      </w:r>
      <w:r>
        <w:rPr>
          <w:rStyle w:val="Appelnotedebasdep"/>
          <w:rFonts w:asciiTheme="majorHAnsi" w:eastAsia="Times New Roman" w:hAnsiTheme="majorHAnsi" w:cstheme="majorHAnsi"/>
          <w:lang w:eastAsia="en-GB"/>
        </w:rPr>
        <w:footnoteReference w:id="20"/>
      </w:r>
      <w:r w:rsidRPr="00A002AA">
        <w:t xml:space="preserve"> Si les </w:t>
      </w:r>
      <w:r w:rsidR="002C2DA9" w:rsidRPr="00A002AA">
        <w:t>États-Unis</w:t>
      </w:r>
      <w:r w:rsidRPr="00A002AA">
        <w:t xml:space="preserve">, l’Europe et la Russie restent dominants, des entreprises situées dans des pays comme la Corée du Sud ou la Turquie ont également fait leur apparition. </w:t>
      </w:r>
      <w:r w:rsidR="002C2DA9">
        <w:t>À</w:t>
      </w:r>
      <w:r w:rsidRPr="00A002AA">
        <w:t xml:space="preserve"> leur tour, ces pays deviennent exportateurs, désormais munis de</w:t>
      </w:r>
      <w:r>
        <w:t xml:space="preserve"> leurs propres</w:t>
      </w:r>
      <w:r w:rsidRPr="00A002AA">
        <w:t xml:space="preserve"> capacités de production d’arme</w:t>
      </w:r>
      <w:r>
        <w:t>s</w:t>
      </w:r>
      <w:r w:rsidRPr="00A002AA">
        <w:t xml:space="preserve">. Une étude a noté que ces </w:t>
      </w:r>
      <w:r w:rsidR="002C2DA9">
        <w:t>« </w:t>
      </w:r>
      <w:r w:rsidRPr="00A002AA">
        <w:t>exportateurs émergents</w:t>
      </w:r>
      <w:r w:rsidR="002C2DA9">
        <w:t> »</w:t>
      </w:r>
      <w:r w:rsidRPr="00A002AA">
        <w:t>, tout comme les exportateurs plus établis, n’hésitent pas à exporter dans des pays en conflit ouvert.</w:t>
      </w:r>
      <w:r>
        <w:rPr>
          <w:rStyle w:val="Appelnotedebasdep"/>
          <w:rFonts w:asciiTheme="majorHAnsi" w:eastAsia="Times New Roman" w:hAnsiTheme="majorHAnsi" w:cstheme="majorHAnsi"/>
          <w:lang w:eastAsia="en-GB"/>
        </w:rPr>
        <w:footnoteReference w:id="21"/>
      </w:r>
      <w:r w:rsidRPr="00A002AA">
        <w:t xml:space="preserve"> Si certains de ces exportateurs émergents comme la Corée du Sud ou le Brésil ont ratifié le TCA, d’autres comme les </w:t>
      </w:r>
      <w:r w:rsidR="002C2DA9" w:rsidRPr="00A002AA">
        <w:t>Émirats</w:t>
      </w:r>
      <w:r w:rsidRPr="00A002AA">
        <w:t xml:space="preserve"> </w:t>
      </w:r>
      <w:r w:rsidR="00AC518E">
        <w:t>arabes u</w:t>
      </w:r>
      <w:r w:rsidRPr="00A002AA">
        <w:t>nis ou la Turquie n’ont pas franchi cette étape. Ces derniers se rendent même coupables de violation d’embargos des Nations Uni</w:t>
      </w:r>
      <w:r w:rsidR="002C2DA9">
        <w:t>e</w:t>
      </w:r>
      <w:r w:rsidRPr="00A002AA">
        <w:t>s, voyant les ventes d’armes comme des instruments au service de leurs ambitions d’influence régionale. </w:t>
      </w:r>
    </w:p>
    <w:p w14:paraId="3FC94E38" w14:textId="1FCD49CA" w:rsidR="005A2DBF" w:rsidRPr="00A002AA" w:rsidRDefault="005A2DBF" w:rsidP="006841F9">
      <w:pPr>
        <w:pStyle w:val="Corps"/>
      </w:pPr>
      <w:r w:rsidRPr="00A002AA">
        <w:t>La volonté d’un plus grand nombre d’</w:t>
      </w:r>
      <w:r w:rsidR="002C2DA9" w:rsidRPr="00A002AA">
        <w:t>États</w:t>
      </w:r>
      <w:r w:rsidRPr="00A002AA">
        <w:t xml:space="preserve"> </w:t>
      </w:r>
      <w:r>
        <w:t>d’</w:t>
      </w:r>
      <w:r w:rsidRPr="00A002AA">
        <w:t xml:space="preserve">établir leur propre industrie d’armement </w:t>
      </w:r>
      <w:r>
        <w:t>alimente</w:t>
      </w:r>
      <w:r w:rsidRPr="00A002AA">
        <w:t xml:space="preserve"> un cercle vicieux où leur demande rencontre l’offre des exportateurs plus établis. Ces derniers cherchant à remporter des contrats, ils sont de plus en plus disposés à réaliser des transferts de technologies. </w:t>
      </w:r>
      <w:r>
        <w:t>Les transferts de technologies sont</w:t>
      </w:r>
      <w:r w:rsidRPr="00A002AA">
        <w:t xml:space="preserve"> liés au contrat principal de la vente, </w:t>
      </w:r>
      <w:r>
        <w:t>contenant par exemple</w:t>
      </w:r>
      <w:r w:rsidRPr="00A002AA">
        <w:t xml:space="preserve"> des offres de formation ou </w:t>
      </w:r>
      <w:r>
        <w:t>l</w:t>
      </w:r>
      <w:r w:rsidRPr="00A002AA">
        <w:t>’implantation locale</w:t>
      </w:r>
      <w:r>
        <w:t xml:space="preserve"> de chaînes de production</w:t>
      </w:r>
      <w:r w:rsidRPr="00A002AA">
        <w:t xml:space="preserve"> dans les pays acheteurs. Ces derniers gagnent ainsi en compétence, et sont </w:t>
      </w:r>
      <w:r>
        <w:t>donc</w:t>
      </w:r>
      <w:r w:rsidRPr="00A002AA">
        <w:t xml:space="preserve"> de plus en plus en mesure produire </w:t>
      </w:r>
      <w:r>
        <w:t xml:space="preserve">leurs propres armes – et ensuite </w:t>
      </w:r>
      <w:r w:rsidRPr="00A002AA">
        <w:t xml:space="preserve">de </w:t>
      </w:r>
      <w:r>
        <w:t xml:space="preserve">les </w:t>
      </w:r>
      <w:r w:rsidRPr="00A002AA">
        <w:t xml:space="preserve">vendre </w:t>
      </w:r>
      <w:r>
        <w:t>à leur tour</w:t>
      </w:r>
      <w:r w:rsidRPr="00A002AA">
        <w:t xml:space="preserve">. </w:t>
      </w:r>
      <w:r>
        <w:t>Ceci</w:t>
      </w:r>
      <w:r w:rsidRPr="00A002AA">
        <w:t xml:space="preserve"> entretient le commerce des armes et des ventes potentiellement sensibles dans des pays en conflit. L’industrie d’armement a ainsi tendance à s’internationaliser, dans de nouveaux pôles de production au-delà des pays occidentaux. Si l’on regarde uniquement les sièges sociaux des quinze principales entreprises de défense, ces derniers sont établis dans 8 </w:t>
      </w:r>
      <w:r>
        <w:t>É</w:t>
      </w:r>
      <w:r w:rsidRPr="00A002AA">
        <w:t xml:space="preserve">tats (y compris la Chine et la Russie). Si l’on élargit toutefois la focale à leurs filiales de production et de services militaires, elles sont présentes dans 49 pays, dont 17 dans des pays dits </w:t>
      </w:r>
      <w:r w:rsidR="002C2DA9">
        <w:t>« </w:t>
      </w:r>
      <w:r w:rsidRPr="00A002AA">
        <w:t>du sud</w:t>
      </w:r>
      <w:r w:rsidR="002C2DA9">
        <w:t> »</w:t>
      </w:r>
      <w:r w:rsidRPr="00A002AA">
        <w:t>.</w:t>
      </w:r>
      <w:r>
        <w:rPr>
          <w:rStyle w:val="Appelnotedebasdep"/>
          <w:rFonts w:asciiTheme="majorHAnsi" w:eastAsia="Times New Roman" w:hAnsiTheme="majorHAnsi" w:cstheme="majorHAnsi"/>
          <w:lang w:eastAsia="en-GB"/>
        </w:rPr>
        <w:footnoteReference w:id="22"/>
      </w:r>
      <w:r w:rsidRPr="00A002AA">
        <w:t xml:space="preserve">  </w:t>
      </w:r>
    </w:p>
    <w:p w14:paraId="7ED47E8B" w14:textId="69AE862A" w:rsidR="005A2DBF" w:rsidRPr="00A002AA" w:rsidRDefault="005A2DBF" w:rsidP="006841F9">
      <w:pPr>
        <w:pStyle w:val="Corps"/>
      </w:pPr>
      <w:r>
        <w:lastRenderedPageBreak/>
        <w:t xml:space="preserve">Si cette diversification des pôles de production répond en partie à une volonté compréhensible de moins dépendre des pays du Nord tant pour la production des armes que des « règles du jeu » de leur commerce, elle </w:t>
      </w:r>
      <w:r w:rsidRPr="00A002AA">
        <w:t xml:space="preserve">complique la création d’un consensus international sur </w:t>
      </w:r>
      <w:r>
        <w:t>le commerce</w:t>
      </w:r>
      <w:r w:rsidRPr="00A002AA">
        <w:t xml:space="preserve"> d’armes et la mise en œuvre des traités et régimes existants. Du côté des importateurs, l’accroissement des sources d’approvisionnement facilite l’accès à des armes potentiellement à </w:t>
      </w:r>
      <w:r>
        <w:t xml:space="preserve">prix </w:t>
      </w:r>
      <w:r w:rsidRPr="00A002AA">
        <w:t xml:space="preserve">plus bas. Les exportateurs, pour leur part, peuvent être incités à se montrer moins restrictifs dans leurs exportations, sachant que d’autres prendront leur place s’ils </w:t>
      </w:r>
      <w:r>
        <w:t>s’imposent des limites</w:t>
      </w:r>
      <w:r w:rsidRPr="00A002AA">
        <w:t>. La multiplication des producteurs d’arme</w:t>
      </w:r>
      <w:r>
        <w:t>s</w:t>
      </w:r>
      <w:r w:rsidRPr="00A002AA">
        <w:t xml:space="preserve"> peut donc s’avérer </w:t>
      </w:r>
      <w:r>
        <w:t xml:space="preserve">une </w:t>
      </w:r>
      <w:r w:rsidRPr="00A002AA">
        <w:t xml:space="preserve">source de déstabilisation </w:t>
      </w:r>
      <w:r>
        <w:t xml:space="preserve">supplémentaire </w:t>
      </w:r>
      <w:r w:rsidRPr="00A002AA">
        <w:t>pour la sécurité internationale</w:t>
      </w:r>
      <w:r>
        <w:t xml:space="preserve"> et l’alimentation des conflits</w:t>
      </w:r>
      <w:r w:rsidRPr="00A002AA">
        <w:t>.</w:t>
      </w:r>
    </w:p>
    <w:p w14:paraId="3907A0EB" w14:textId="77777777" w:rsidR="005A2DBF" w:rsidRPr="00923892" w:rsidRDefault="005A2DBF" w:rsidP="006841F9">
      <w:pPr>
        <w:pStyle w:val="VDIIntertitre"/>
      </w:pPr>
      <w:r w:rsidRPr="00A002AA">
        <w:rPr>
          <w:shd w:val="clear" w:color="auto" w:fill="FFFFFF"/>
        </w:rPr>
        <w:t>Conclusion</w:t>
      </w:r>
      <w:r>
        <w:rPr>
          <w:shd w:val="clear" w:color="auto" w:fill="FFFFFF"/>
        </w:rPr>
        <w:t> </w:t>
      </w:r>
    </w:p>
    <w:p w14:paraId="74B52C1D" w14:textId="5911D447" w:rsidR="005A2DBF" w:rsidRDefault="005A2DBF" w:rsidP="006841F9">
      <w:pPr>
        <w:pStyle w:val="Corps"/>
      </w:pPr>
      <w:r>
        <w:t xml:space="preserve">Le commerce des armes, en forte augmentation, n’a jamais été autant régulé. Les controverses quant aux politiques d’exportation de certains </w:t>
      </w:r>
      <w:r w:rsidR="002C2DA9">
        <w:t>États</w:t>
      </w:r>
      <w:r>
        <w:t xml:space="preserve"> </w:t>
      </w:r>
      <w:r w:rsidR="002C2DA9">
        <w:t>n’o</w:t>
      </w:r>
      <w:r>
        <w:t xml:space="preserve">nt pourtant pas disparu. Des facteurs tenant tant aux régulations elles-mêmes qu’à la structure de l’industrie globale de l’armement expliquent les difficultés de ces politiques internationales. Les acteurs nationaux que sont les parlements, médias et acteurs associatifs demeurent en ce sens les acteurs importants de la politisation et contestation du commerce des armes, en rappelant les </w:t>
      </w:r>
      <w:r w:rsidR="002C2DA9">
        <w:t>États</w:t>
      </w:r>
      <w:r>
        <w:t xml:space="preserve"> à leur responsabilité pour la bonne mise en œuvre des traités existants. </w:t>
      </w:r>
    </w:p>
    <w:p w14:paraId="0286298F" w14:textId="5FF32981" w:rsidR="0063372A" w:rsidRDefault="0063372A" w:rsidP="0063372A">
      <w:pPr>
        <w:pStyle w:val="VDIdate"/>
      </w:pPr>
      <w:r>
        <w:t>Publié dans lavi</w:t>
      </w:r>
      <w:r w:rsidR="006E7A74">
        <w:t>e</w:t>
      </w:r>
      <w:r>
        <w:t>desidees.fr, le</w:t>
      </w:r>
      <w:r w:rsidR="00C63DC1">
        <w:t xml:space="preserve"> </w:t>
      </w:r>
      <w:r w:rsidR="008E78F1">
        <w:t>mars</w:t>
      </w:r>
      <w:r w:rsidR="00C63DC1">
        <w:t xml:space="preserve"> </w:t>
      </w:r>
      <w:r w:rsidR="00C70344">
        <w:t>202</w:t>
      </w:r>
      <w:r w:rsidR="00481151">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51D51" w14:textId="77777777" w:rsidR="00260499" w:rsidRDefault="00260499">
      <w:r>
        <w:separator/>
      </w:r>
    </w:p>
  </w:endnote>
  <w:endnote w:type="continuationSeparator" w:id="0">
    <w:p w14:paraId="360388F3" w14:textId="77777777" w:rsidR="00260499" w:rsidRDefault="0026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Al Bayan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700"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C1535A">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F01F3" w14:textId="77777777" w:rsidR="00260499" w:rsidRDefault="00260499">
      <w:r>
        <w:separator/>
      </w:r>
    </w:p>
  </w:footnote>
  <w:footnote w:type="continuationSeparator" w:id="0">
    <w:p w14:paraId="64FA1A3E" w14:textId="77777777" w:rsidR="00260499" w:rsidRDefault="00260499">
      <w:r>
        <w:continuationSeparator/>
      </w:r>
    </w:p>
  </w:footnote>
  <w:footnote w:id="1">
    <w:p w14:paraId="2D99887A" w14:textId="3FE52B81" w:rsidR="00A958AB" w:rsidRDefault="00A958AB" w:rsidP="009A0ACD">
      <w:pPr>
        <w:pStyle w:val="Notedebasdepage"/>
        <w:jc w:val="both"/>
      </w:pPr>
      <w:r>
        <w:rPr>
          <w:rStyle w:val="Appelnotedebasdep"/>
        </w:rPr>
        <w:footnoteRef/>
      </w:r>
      <w:r>
        <w:t xml:space="preserve"> Nous parlons ici de régulation et non de gouvernement pour souligner la nature internationale des mesures et ses effets en termes d’instruments</w:t>
      </w:r>
      <w:r w:rsidR="00CD3196">
        <w:t xml:space="preserve">, mais elle conserve la même nature politique. </w:t>
      </w:r>
    </w:p>
  </w:footnote>
  <w:footnote w:id="2">
    <w:p w14:paraId="3AA1D479" w14:textId="77777777" w:rsidR="005A2DBF" w:rsidRPr="0024423E" w:rsidRDefault="005A2DBF" w:rsidP="009A0ACD">
      <w:pPr>
        <w:pStyle w:val="Notedebasdepage"/>
        <w:jc w:val="both"/>
        <w:rPr>
          <w:lang w:val="en-US"/>
        </w:rPr>
      </w:pPr>
      <w:r w:rsidRPr="0024423E">
        <w:rPr>
          <w:rStyle w:val="Appelnotedebasdep"/>
          <w:rFonts w:asciiTheme="majorHAnsi" w:hAnsiTheme="majorHAnsi" w:cstheme="majorHAnsi"/>
        </w:rPr>
        <w:footnoteRef/>
      </w:r>
      <w:r w:rsidRPr="0024423E">
        <w:rPr>
          <w:rStyle w:val="Appelnotedebasdep"/>
          <w:rFonts w:asciiTheme="majorHAnsi" w:hAnsiTheme="majorHAnsi" w:cstheme="majorHAnsi"/>
        </w:rPr>
        <w:t xml:space="preserve"> </w:t>
      </w:r>
      <w:r w:rsidRPr="0024423E">
        <w:t xml:space="preserve">Pour une application de cette thèse au cas français : </w:t>
      </w:r>
      <w:proofErr w:type="spellStart"/>
      <w:r w:rsidRPr="0024423E">
        <w:t>Fauconnet</w:t>
      </w:r>
      <w:proofErr w:type="spellEnd"/>
      <w:r w:rsidRPr="0024423E">
        <w:t xml:space="preserve">, Cécile, Julien </w:t>
      </w:r>
      <w:proofErr w:type="spellStart"/>
      <w:r w:rsidRPr="0024423E">
        <w:t>Malizard</w:t>
      </w:r>
      <w:proofErr w:type="spellEnd"/>
      <w:r w:rsidRPr="0024423E">
        <w:t xml:space="preserve">, and Antoine </w:t>
      </w:r>
      <w:proofErr w:type="spellStart"/>
      <w:r w:rsidRPr="0024423E">
        <w:t>Pietri</w:t>
      </w:r>
      <w:proofErr w:type="spellEnd"/>
      <w:r w:rsidRPr="0024423E">
        <w:t xml:space="preserve">. </w:t>
      </w:r>
      <w:r w:rsidRPr="00FF1425">
        <w:rPr>
          <w:lang w:val="en-US"/>
        </w:rPr>
        <w:t xml:space="preserve">2019. ‘French Arms Exports and Intrastate Conflicts: An Empirical Investigation’. </w:t>
      </w:r>
      <w:proofErr w:type="spellStart"/>
      <w:r w:rsidRPr="005A2DBF">
        <w:rPr>
          <w:i/>
          <w:iCs/>
          <w:lang w:val="en-US"/>
        </w:rPr>
        <w:t>Defence</w:t>
      </w:r>
      <w:proofErr w:type="spellEnd"/>
      <w:r w:rsidRPr="005A2DBF">
        <w:rPr>
          <w:i/>
          <w:iCs/>
          <w:lang w:val="en-US"/>
        </w:rPr>
        <w:t xml:space="preserve"> and Peace Economics</w:t>
      </w:r>
      <w:r w:rsidRPr="0024423E">
        <w:rPr>
          <w:lang w:val="en-US"/>
        </w:rPr>
        <w:t xml:space="preserve"> 30(2):176–96. </w:t>
      </w:r>
      <w:proofErr w:type="spellStart"/>
      <w:r w:rsidRPr="0024423E">
        <w:rPr>
          <w:lang w:val="en-US"/>
        </w:rPr>
        <w:t>doi</w:t>
      </w:r>
      <w:proofErr w:type="spellEnd"/>
      <w:r w:rsidRPr="0024423E">
        <w:rPr>
          <w:lang w:val="en-US"/>
        </w:rPr>
        <w:t xml:space="preserve">: </w:t>
      </w:r>
      <w:hyperlink r:id="rId1" w:history="1">
        <w:r w:rsidRPr="0024423E">
          <w:rPr>
            <w:lang w:val="en-US"/>
          </w:rPr>
          <w:t>10.1080/10242694.2018.1488371</w:t>
        </w:r>
      </w:hyperlink>
      <w:r w:rsidRPr="0024423E">
        <w:rPr>
          <w:lang w:val="en-US"/>
        </w:rPr>
        <w:t>.</w:t>
      </w:r>
    </w:p>
  </w:footnote>
  <w:footnote w:id="3">
    <w:p w14:paraId="6D6106C3" w14:textId="77777777" w:rsidR="005A2DBF" w:rsidRPr="0024423E" w:rsidRDefault="005A2DBF" w:rsidP="009A0ACD">
      <w:pPr>
        <w:pStyle w:val="Notedebasdepage"/>
        <w:jc w:val="both"/>
        <w:rPr>
          <w:lang w:val="en-US"/>
        </w:rPr>
      </w:pPr>
      <w:r w:rsidRPr="0024423E">
        <w:rPr>
          <w:rStyle w:val="Appelnotedebasdep"/>
          <w:rFonts w:asciiTheme="majorHAnsi" w:hAnsiTheme="majorHAnsi" w:cstheme="majorHAnsi"/>
        </w:rPr>
        <w:footnoteRef/>
      </w:r>
      <w:r w:rsidRPr="0024423E">
        <w:rPr>
          <w:lang w:val="en-US"/>
        </w:rPr>
        <w:t xml:space="preserve"> </w:t>
      </w:r>
      <w:proofErr w:type="spellStart"/>
      <w:r w:rsidRPr="0024423E">
        <w:rPr>
          <w:lang w:val="en-US"/>
        </w:rPr>
        <w:t>Voir</w:t>
      </w:r>
      <w:proofErr w:type="spellEnd"/>
      <w:r w:rsidRPr="0024423E">
        <w:rPr>
          <w:lang w:val="en-US"/>
        </w:rPr>
        <w:t xml:space="preserve"> </w:t>
      </w:r>
      <w:proofErr w:type="spellStart"/>
      <w:proofErr w:type="gramStart"/>
      <w:r w:rsidRPr="0024423E">
        <w:rPr>
          <w:lang w:val="en-US"/>
        </w:rPr>
        <w:t>notamment</w:t>
      </w:r>
      <w:proofErr w:type="spellEnd"/>
      <w:r w:rsidRPr="0024423E">
        <w:rPr>
          <w:lang w:val="en-US"/>
        </w:rPr>
        <w:t> :</w:t>
      </w:r>
      <w:proofErr w:type="gramEnd"/>
      <w:r w:rsidRPr="0024423E">
        <w:rPr>
          <w:lang w:val="en-US"/>
        </w:rPr>
        <w:t xml:space="preserve"> Craft, Cassady, and Joseph P. </w:t>
      </w:r>
      <w:proofErr w:type="spellStart"/>
      <w:r w:rsidRPr="0024423E">
        <w:rPr>
          <w:lang w:val="en-US"/>
        </w:rPr>
        <w:t>Smaldone</w:t>
      </w:r>
      <w:proofErr w:type="spellEnd"/>
      <w:r w:rsidRPr="0024423E">
        <w:rPr>
          <w:lang w:val="en-US"/>
        </w:rPr>
        <w:t xml:space="preserve">. 2002. ‘The Arms Trade and the Incidence of Political Violence in Sub-Saharan Africa, 1967-97’. </w:t>
      </w:r>
      <w:r w:rsidRPr="005A2DBF">
        <w:rPr>
          <w:i/>
          <w:iCs/>
          <w:lang w:val="en-US"/>
        </w:rPr>
        <w:t>Journal of Peace Research</w:t>
      </w:r>
      <w:r w:rsidRPr="0024423E">
        <w:rPr>
          <w:lang w:val="en-US"/>
        </w:rPr>
        <w:t xml:space="preserve"> 39(6):693–710. </w:t>
      </w:r>
      <w:proofErr w:type="spellStart"/>
      <w:r w:rsidRPr="0024423E">
        <w:rPr>
          <w:lang w:val="en-US"/>
        </w:rPr>
        <w:t>doi</w:t>
      </w:r>
      <w:proofErr w:type="spellEnd"/>
      <w:r w:rsidRPr="0024423E">
        <w:rPr>
          <w:lang w:val="en-US"/>
        </w:rPr>
        <w:t xml:space="preserve">: </w:t>
      </w:r>
      <w:hyperlink r:id="rId2" w:history="1">
        <w:r w:rsidRPr="0024423E">
          <w:rPr>
            <w:lang w:val="en-US"/>
          </w:rPr>
          <w:t>10.1177/0022343302039006003</w:t>
        </w:r>
      </w:hyperlink>
      <w:r w:rsidRPr="0024423E">
        <w:rPr>
          <w:lang w:val="en-US"/>
        </w:rPr>
        <w:t>.</w:t>
      </w:r>
    </w:p>
  </w:footnote>
  <w:footnote w:id="4">
    <w:p w14:paraId="3E4D5AC1" w14:textId="12C0E561" w:rsidR="005A2DBF" w:rsidRPr="00FF1425" w:rsidRDefault="005A2DBF" w:rsidP="009A0ACD">
      <w:pPr>
        <w:pStyle w:val="Notedebasdepage"/>
        <w:jc w:val="both"/>
      </w:pPr>
      <w:r w:rsidRPr="0024423E">
        <w:rPr>
          <w:rStyle w:val="Appelnotedebasdep"/>
          <w:rFonts w:asciiTheme="majorHAnsi" w:hAnsiTheme="majorHAnsi" w:cstheme="majorHAnsi"/>
        </w:rPr>
        <w:footnoteRef/>
      </w:r>
      <w:r w:rsidRPr="005A2DBF">
        <w:rPr>
          <w:lang w:val="en-US"/>
        </w:rPr>
        <w:t xml:space="preserve"> </w:t>
      </w:r>
      <w:proofErr w:type="spellStart"/>
      <w:r w:rsidRPr="0024423E">
        <w:rPr>
          <w:lang w:val="en-US"/>
        </w:rPr>
        <w:t>Pamp</w:t>
      </w:r>
      <w:proofErr w:type="spellEnd"/>
      <w:r w:rsidRPr="0024423E">
        <w:rPr>
          <w:lang w:val="en-US"/>
        </w:rPr>
        <w:t xml:space="preserve">, Oliver, Lukas Rudolph, Paul W. </w:t>
      </w:r>
      <w:proofErr w:type="spellStart"/>
      <w:r w:rsidRPr="0024423E">
        <w:rPr>
          <w:lang w:val="en-US"/>
        </w:rPr>
        <w:t>Thurner</w:t>
      </w:r>
      <w:proofErr w:type="spellEnd"/>
      <w:r w:rsidRPr="0024423E">
        <w:rPr>
          <w:lang w:val="en-US"/>
        </w:rPr>
        <w:t xml:space="preserve">, Andreas </w:t>
      </w:r>
      <w:proofErr w:type="spellStart"/>
      <w:r w:rsidRPr="0024423E">
        <w:rPr>
          <w:lang w:val="en-US"/>
        </w:rPr>
        <w:t>Mehltretter</w:t>
      </w:r>
      <w:proofErr w:type="spellEnd"/>
      <w:r w:rsidRPr="0024423E">
        <w:rPr>
          <w:lang w:val="en-US"/>
        </w:rPr>
        <w:t xml:space="preserve">, and Simon Primus. 2018. ‘The Build-up of Coercive Capacities: Arms Imports and the Outbreak of Violent Intrastate Conflicts’. </w:t>
      </w:r>
      <w:r w:rsidRPr="00D147C4">
        <w:rPr>
          <w:i/>
          <w:iCs/>
          <w:lang w:val="en-US"/>
        </w:rPr>
        <w:t>Journal of Peace Research</w:t>
      </w:r>
      <w:r w:rsidRPr="00D147C4">
        <w:rPr>
          <w:lang w:val="en-US"/>
        </w:rPr>
        <w:t xml:space="preserve"> 55(4), p.430. </w:t>
      </w:r>
      <w:proofErr w:type="spellStart"/>
      <w:r w:rsidRPr="00D147C4">
        <w:rPr>
          <w:lang w:val="en-US"/>
        </w:rPr>
        <w:t>doi</w:t>
      </w:r>
      <w:proofErr w:type="spellEnd"/>
      <w:r w:rsidRPr="00D147C4">
        <w:rPr>
          <w:lang w:val="en-US"/>
        </w:rPr>
        <w:t xml:space="preserve">: </w:t>
      </w:r>
      <w:hyperlink r:id="rId3" w:history="1">
        <w:r w:rsidRPr="00D147C4">
          <w:rPr>
            <w:lang w:val="en-US"/>
          </w:rPr>
          <w:t>10.1177/0022343317740417</w:t>
        </w:r>
      </w:hyperlink>
      <w:r w:rsidR="00FA7E05">
        <w:rPr>
          <w:lang w:val="en-US"/>
        </w:rPr>
        <w:t xml:space="preserve">: </w:t>
      </w:r>
      <w:r w:rsidR="00FA7E05" w:rsidRPr="00FA7E05">
        <w:rPr>
          <w:lang w:val="en-US"/>
        </w:rPr>
        <w:t>« </w:t>
      </w:r>
      <w:r w:rsidR="00FA7E05" w:rsidRPr="00FA7E05">
        <w:rPr>
          <w:i/>
          <w:iCs/>
          <w:lang w:val="en-US"/>
        </w:rPr>
        <w:t xml:space="preserve">while arms imports are not a genuine cause of intrastate conflicts, they significantly increase the probability of an onset in countries where conditions are notoriously conducive to conflict. In such situations, arms are not an effective deterrent but rather spark conflict </w:t>
      </w:r>
      <w:r w:rsidR="00FA7E05">
        <w:rPr>
          <w:i/>
          <w:iCs/>
          <w:lang w:val="en-US"/>
        </w:rPr>
        <w:t xml:space="preserve">escalation </w:t>
      </w:r>
      <w:r w:rsidR="00FA7E05" w:rsidRPr="00FA7E05">
        <w:rPr>
          <w:lang w:val="en-US"/>
        </w:rPr>
        <w:t>»</w:t>
      </w:r>
      <w:r w:rsidR="00FA7E05">
        <w:rPr>
          <w:lang w:val="en-US"/>
        </w:rPr>
        <w:t xml:space="preserve">. </w:t>
      </w:r>
      <w:r w:rsidRPr="00FF1425">
        <w:t xml:space="preserve">Traduction des autrices. </w:t>
      </w:r>
    </w:p>
  </w:footnote>
  <w:footnote w:id="5">
    <w:p w14:paraId="389F77F4" w14:textId="77777777" w:rsidR="005A2DBF" w:rsidRPr="00420A06" w:rsidRDefault="005A2DBF" w:rsidP="009A0ACD">
      <w:pPr>
        <w:pStyle w:val="Notedebasdepage"/>
        <w:jc w:val="both"/>
      </w:pPr>
      <w:r w:rsidRPr="006C7C86">
        <w:rPr>
          <w:rStyle w:val="Appelnotedebasdep"/>
          <w:rFonts w:asciiTheme="majorHAnsi" w:hAnsiTheme="majorHAnsi" w:cstheme="majorHAnsi"/>
          <w:sz w:val="24"/>
          <w:szCs w:val="24"/>
          <w:highlight w:val="magenta"/>
        </w:rPr>
        <w:footnoteRef/>
      </w:r>
      <w:r w:rsidRPr="00420A06">
        <w:rPr>
          <w:sz w:val="24"/>
          <w:szCs w:val="24"/>
        </w:rPr>
        <w:t xml:space="preserve"> </w:t>
      </w:r>
      <w:r w:rsidRPr="00420A06">
        <w:t>Pour un aperçu :</w:t>
      </w:r>
      <w:r w:rsidRPr="0024423E">
        <w:rPr>
          <w:rStyle w:val="Appelnotedebasdep"/>
          <w:rFonts w:asciiTheme="majorHAnsi" w:hAnsiTheme="majorHAnsi" w:cstheme="majorHAnsi"/>
          <w:sz w:val="24"/>
          <w:szCs w:val="24"/>
        </w:rPr>
        <w:t xml:space="preserve"> </w:t>
      </w:r>
      <w:hyperlink r:id="rId4" w:history="1">
        <w:r w:rsidRPr="00420A06">
          <w:t>https://www.un.org/disarmament/</w:t>
        </w:r>
      </w:hyperlink>
      <w:r w:rsidRPr="00420A06">
        <w:t xml:space="preserve"> </w:t>
      </w:r>
    </w:p>
  </w:footnote>
  <w:footnote w:id="6">
    <w:p w14:paraId="58C99D50" w14:textId="77777777" w:rsidR="005A2DBF" w:rsidRPr="0057685E" w:rsidRDefault="005A2DBF" w:rsidP="009A0ACD">
      <w:pPr>
        <w:pStyle w:val="Notedebasdepage"/>
        <w:jc w:val="both"/>
      </w:pPr>
      <w:r w:rsidRPr="0024423E">
        <w:rPr>
          <w:rStyle w:val="Appelnotedebasdep"/>
          <w:rFonts w:asciiTheme="majorHAnsi" w:hAnsiTheme="majorHAnsi" w:cstheme="majorHAnsi"/>
        </w:rPr>
        <w:footnoteRef/>
      </w:r>
      <w:r w:rsidRPr="005A2DBF">
        <w:rPr>
          <w:rStyle w:val="Appelnotedebasdep"/>
          <w:rFonts w:asciiTheme="majorHAnsi" w:hAnsiTheme="majorHAnsi" w:cstheme="majorHAnsi"/>
          <w:lang w:val="en-US"/>
        </w:rPr>
        <w:t xml:space="preserve"> </w:t>
      </w:r>
      <w:proofErr w:type="spellStart"/>
      <w:r w:rsidRPr="0024423E">
        <w:rPr>
          <w:lang w:val="en-US"/>
        </w:rPr>
        <w:t>Petrova</w:t>
      </w:r>
      <w:proofErr w:type="spellEnd"/>
      <w:r w:rsidRPr="0024423E">
        <w:rPr>
          <w:lang w:val="en-US"/>
        </w:rPr>
        <w:t xml:space="preserve">, Margarita H. 2019. ‘NGOs and Peace’. in </w:t>
      </w:r>
      <w:r w:rsidRPr="005A2DBF">
        <w:rPr>
          <w:i/>
          <w:iCs/>
          <w:lang w:val="en-US"/>
        </w:rPr>
        <w:t>Routledge Handbook of NGOs and International Relations</w:t>
      </w:r>
      <w:r w:rsidRPr="0024423E">
        <w:rPr>
          <w:lang w:val="en-US"/>
        </w:rPr>
        <w:t xml:space="preserve">, edited by T. Davies. </w:t>
      </w:r>
      <w:proofErr w:type="spellStart"/>
      <w:r w:rsidRPr="0057685E">
        <w:t>Routledge</w:t>
      </w:r>
      <w:proofErr w:type="spellEnd"/>
      <w:r w:rsidRPr="0057685E">
        <w:t>.</w:t>
      </w:r>
    </w:p>
  </w:footnote>
  <w:footnote w:id="7">
    <w:p w14:paraId="49A4DF74" w14:textId="1B5C9BA2" w:rsidR="005A2DBF" w:rsidRPr="00263EEF" w:rsidRDefault="005A2DBF" w:rsidP="009A0ACD">
      <w:pPr>
        <w:pStyle w:val="Notedebasdepage"/>
        <w:jc w:val="both"/>
        <w:rPr>
          <w:lang w:val="en-US"/>
        </w:rPr>
      </w:pPr>
      <w:r w:rsidRPr="0024423E">
        <w:rPr>
          <w:rStyle w:val="Appelnotedebasdep"/>
          <w:rFonts w:asciiTheme="majorHAnsi" w:hAnsiTheme="majorHAnsi" w:cstheme="majorHAnsi"/>
        </w:rPr>
        <w:footnoteRef/>
      </w:r>
      <w:r w:rsidRPr="0024423E">
        <w:rPr>
          <w:rStyle w:val="Appelnotedebasdep"/>
          <w:rFonts w:asciiTheme="majorHAnsi" w:hAnsiTheme="majorHAnsi" w:cstheme="majorHAnsi"/>
        </w:rPr>
        <w:t xml:space="preserve"> </w:t>
      </w:r>
      <w:r w:rsidRPr="0024423E">
        <w:t>Sur le concept de politique étrangère féministe, voir :  </w:t>
      </w:r>
      <w:proofErr w:type="spellStart"/>
      <w:r w:rsidRPr="0024423E">
        <w:t>Aggestam</w:t>
      </w:r>
      <w:proofErr w:type="spellEnd"/>
      <w:r w:rsidRPr="0024423E">
        <w:t xml:space="preserve">, Karin, </w:t>
      </w:r>
      <w:proofErr w:type="spellStart"/>
      <w:r w:rsidRPr="0024423E">
        <w:t>Annika</w:t>
      </w:r>
      <w:proofErr w:type="spellEnd"/>
      <w:r w:rsidRPr="0024423E">
        <w:t xml:space="preserve"> Bergman </w:t>
      </w:r>
      <w:proofErr w:type="spellStart"/>
      <w:r w:rsidRPr="0024423E">
        <w:t>Rosamond</w:t>
      </w:r>
      <w:proofErr w:type="spellEnd"/>
      <w:r w:rsidRPr="0024423E">
        <w:t xml:space="preserve">, and </w:t>
      </w:r>
      <w:proofErr w:type="spellStart"/>
      <w:r w:rsidRPr="0024423E">
        <w:t>Annica</w:t>
      </w:r>
      <w:proofErr w:type="spellEnd"/>
      <w:r w:rsidRPr="0024423E">
        <w:t xml:space="preserve"> </w:t>
      </w:r>
      <w:proofErr w:type="spellStart"/>
      <w:r w:rsidRPr="0024423E">
        <w:t>Kronsell</w:t>
      </w:r>
      <w:proofErr w:type="spellEnd"/>
      <w:r w:rsidRPr="0024423E">
        <w:t xml:space="preserve">. </w:t>
      </w:r>
      <w:r w:rsidRPr="00A87BF7">
        <w:rPr>
          <w:lang w:val="en-US"/>
        </w:rPr>
        <w:t xml:space="preserve">2018. ‘Theorising Feminist Foreign Policy’. </w:t>
      </w:r>
      <w:r w:rsidRPr="00A87BF7">
        <w:rPr>
          <w:i/>
          <w:iCs/>
          <w:lang w:val="en-US"/>
        </w:rPr>
        <w:t>International Relations</w:t>
      </w:r>
      <w:r w:rsidRPr="00A87BF7">
        <w:rPr>
          <w:lang w:val="en-US"/>
        </w:rPr>
        <w:t xml:space="preserve"> 33(1):23–39. doi: </w:t>
      </w:r>
      <w:hyperlink r:id="rId5" w:history="1">
        <w:r w:rsidRPr="00A87BF7">
          <w:rPr>
            <w:lang w:val="en-US"/>
          </w:rPr>
          <w:t>10.1177/0047117818811892</w:t>
        </w:r>
      </w:hyperlink>
      <w:r w:rsidR="00023E4F" w:rsidRPr="00A87BF7">
        <w:rPr>
          <w:lang w:val="en-US"/>
        </w:rPr>
        <w:t xml:space="preserve"> ; </w:t>
      </w:r>
      <w:r w:rsidRPr="00A87BF7">
        <w:rPr>
          <w:lang w:val="en-US"/>
        </w:rPr>
        <w:t xml:space="preserve">Scheyer, Victoria, and Marina Kumskova. </w:t>
      </w:r>
      <w:r w:rsidRPr="0024423E">
        <w:rPr>
          <w:lang w:val="en-US"/>
        </w:rPr>
        <w:t xml:space="preserve">2019. ‘Feminist Foreign Policy: A Fine Line between “Adding Women” and Pursuing a Feminist Agenda’. </w:t>
      </w:r>
      <w:r w:rsidRPr="00263EEF">
        <w:rPr>
          <w:i/>
          <w:iCs/>
          <w:lang w:val="en-US"/>
        </w:rPr>
        <w:t>Journal of International Affairs</w:t>
      </w:r>
      <w:r w:rsidRPr="00263EEF">
        <w:rPr>
          <w:lang w:val="en-US"/>
        </w:rPr>
        <w:t xml:space="preserve"> 72(2):57–76. </w:t>
      </w:r>
    </w:p>
  </w:footnote>
  <w:footnote w:id="8">
    <w:p w14:paraId="24CAB7FB" w14:textId="568DE5EA" w:rsidR="00E721EE" w:rsidRPr="00E721EE" w:rsidRDefault="00E721EE" w:rsidP="009A0ACD">
      <w:pPr>
        <w:pStyle w:val="Notedebasdepage"/>
        <w:jc w:val="both"/>
        <w:rPr>
          <w:lang w:val="en-US"/>
        </w:rPr>
      </w:pPr>
      <w:r>
        <w:rPr>
          <w:rStyle w:val="Appelnotedebasdep"/>
        </w:rPr>
        <w:footnoteRef/>
      </w:r>
      <w:r w:rsidRPr="00A87BF7">
        <w:rPr>
          <w:lang w:val="en-US"/>
        </w:rPr>
        <w:t xml:space="preserve"> Freiberger, Erich. </w:t>
      </w:r>
      <w:r w:rsidRPr="00E721EE">
        <w:rPr>
          <w:lang w:val="en-US"/>
        </w:rPr>
        <w:t>2013. ‘</w:t>
      </w:r>
      <w:r w:rsidRPr="00D454B0">
        <w:rPr>
          <w:lang w:val="en-US"/>
        </w:rPr>
        <w:t>Just War Theory and the Ethics of Drone Warfare</w:t>
      </w:r>
      <w:r>
        <w:rPr>
          <w:lang w:val="en-US"/>
        </w:rPr>
        <w:t>’, E</w:t>
      </w:r>
      <w:r w:rsidRPr="00E721EE">
        <w:rPr>
          <w:i/>
          <w:iCs/>
          <w:lang w:val="en-US"/>
        </w:rPr>
        <w:t>-International Relations</w:t>
      </w:r>
      <w:r>
        <w:rPr>
          <w:lang w:val="en-US"/>
        </w:rPr>
        <w:t xml:space="preserve">:  </w:t>
      </w:r>
      <w:hyperlink r:id="rId6" w:history="1">
        <w:r w:rsidRPr="00A66E4D">
          <w:rPr>
            <w:rStyle w:val="Lienhypertexte"/>
            <w:lang w:val="en-US"/>
          </w:rPr>
          <w:t>https://www.e-ir.info/2013/07/18/just-war-theory-and-the-ethics-of-drone-warfare/</w:t>
        </w:r>
      </w:hyperlink>
      <w:r>
        <w:rPr>
          <w:lang w:val="en-US"/>
        </w:rPr>
        <w:t xml:space="preserve"> (accede le 16/02/2021); </w:t>
      </w:r>
      <w:r w:rsidRPr="00E721EE">
        <w:rPr>
          <w:lang w:val="en-US"/>
        </w:rPr>
        <w:t xml:space="preserve">Byrne, Edmund F. 2010. ‘The U.S. Military-Industrial Complex Is Circumstantially Unethical’. </w:t>
      </w:r>
      <w:r w:rsidRPr="00E721EE">
        <w:rPr>
          <w:i/>
          <w:iCs/>
          <w:lang w:val="en-US"/>
        </w:rPr>
        <w:t>Journal of Business Ethics</w:t>
      </w:r>
      <w:r w:rsidRPr="00E721EE">
        <w:rPr>
          <w:lang w:val="en-US"/>
        </w:rPr>
        <w:t xml:space="preserve"> 95(2):153–65. </w:t>
      </w:r>
      <w:proofErr w:type="spellStart"/>
      <w:r w:rsidRPr="00E721EE">
        <w:rPr>
          <w:lang w:val="en-US"/>
        </w:rPr>
        <w:t>doi</w:t>
      </w:r>
      <w:proofErr w:type="spellEnd"/>
      <w:r w:rsidRPr="00E721EE">
        <w:rPr>
          <w:lang w:val="en-US"/>
        </w:rPr>
        <w:t xml:space="preserve">: </w:t>
      </w:r>
      <w:hyperlink r:id="rId7" w:history="1">
        <w:r w:rsidRPr="00E721EE">
          <w:rPr>
            <w:rStyle w:val="Lienhypertexte"/>
            <w:lang w:val="en-US"/>
          </w:rPr>
          <w:t>10.1007/s10551-009-0361-0</w:t>
        </w:r>
      </w:hyperlink>
      <w:r>
        <w:rPr>
          <w:lang w:val="en-US"/>
        </w:rPr>
        <w:t>;</w:t>
      </w:r>
      <w:r w:rsidRPr="00E721EE">
        <w:rPr>
          <w:lang w:val="en-US"/>
        </w:rPr>
        <w:t>.</w:t>
      </w:r>
    </w:p>
  </w:footnote>
  <w:footnote w:id="9">
    <w:p w14:paraId="2B0993E5" w14:textId="4FF45CB5" w:rsidR="00E721EE" w:rsidRPr="00A87BF7" w:rsidRDefault="00E721EE" w:rsidP="009A0ACD">
      <w:pPr>
        <w:pStyle w:val="Notedebasdepage"/>
        <w:jc w:val="both"/>
        <w:rPr>
          <w:lang w:val="en-US"/>
        </w:rPr>
      </w:pPr>
      <w:r>
        <w:rPr>
          <w:rStyle w:val="Appelnotedebasdep"/>
        </w:rPr>
        <w:footnoteRef/>
      </w:r>
      <w:r w:rsidRPr="00E721EE">
        <w:rPr>
          <w:lang w:val="en-US"/>
        </w:rPr>
        <w:t xml:space="preserve"> Sjoberg, Laura. 2006. </w:t>
      </w:r>
      <w:r w:rsidRPr="00E721EE">
        <w:rPr>
          <w:i/>
          <w:iCs/>
          <w:lang w:val="en-US"/>
        </w:rPr>
        <w:t>Gender, Justice, and the Wars in Iraq: A Feminist Reformulation of Just War Theory</w:t>
      </w:r>
      <w:r w:rsidRPr="00E721EE">
        <w:rPr>
          <w:lang w:val="en-US"/>
        </w:rPr>
        <w:t xml:space="preserve">. </w:t>
      </w:r>
      <w:r w:rsidRPr="00A87BF7">
        <w:rPr>
          <w:lang w:val="en-US"/>
        </w:rPr>
        <w:t>Lanham, MD: Lexington Books.</w:t>
      </w:r>
    </w:p>
  </w:footnote>
  <w:footnote w:id="10">
    <w:p w14:paraId="551D335D" w14:textId="77777777" w:rsidR="005A2DBF" w:rsidRPr="00AC518E" w:rsidRDefault="005A2DBF" w:rsidP="009A0ACD">
      <w:pPr>
        <w:pStyle w:val="Notedebasdepage"/>
        <w:jc w:val="both"/>
        <w:rPr>
          <w:lang w:val="en-US"/>
        </w:rPr>
      </w:pPr>
      <w:r w:rsidRPr="00FC3ED7">
        <w:rPr>
          <w:rStyle w:val="Appelnotedebasdep"/>
          <w:rFonts w:asciiTheme="majorHAnsi" w:hAnsiTheme="majorHAnsi" w:cstheme="majorHAnsi"/>
        </w:rPr>
        <w:footnoteRef/>
      </w:r>
      <w:r w:rsidRPr="00AC518E">
        <w:rPr>
          <w:lang w:val="en-US"/>
        </w:rPr>
        <w:t xml:space="preserve"> SIPRI Military Expenditure Database, </w:t>
      </w:r>
      <w:r w:rsidR="00260499">
        <w:fldChar w:fldCharType="begin"/>
      </w:r>
      <w:r w:rsidR="00260499" w:rsidRPr="00AC518E">
        <w:rPr>
          <w:lang w:val="en-US"/>
        </w:rPr>
        <w:instrText xml:space="preserve"> HYPERLINK "https://www.sipri.org/databases/milex" </w:instrText>
      </w:r>
      <w:r w:rsidR="00260499">
        <w:fldChar w:fldCharType="separate"/>
      </w:r>
      <w:r w:rsidRPr="00AC518E">
        <w:rPr>
          <w:rStyle w:val="Lienhypertexte"/>
          <w:rFonts w:asciiTheme="majorHAnsi" w:hAnsiTheme="majorHAnsi" w:cstheme="majorHAnsi"/>
          <w:lang w:val="en-US"/>
        </w:rPr>
        <w:t>https://www.sipri.org/databases/milex</w:t>
      </w:r>
      <w:r w:rsidR="00260499">
        <w:rPr>
          <w:rStyle w:val="Lienhypertexte"/>
          <w:rFonts w:asciiTheme="majorHAnsi" w:hAnsiTheme="majorHAnsi" w:cstheme="majorHAnsi"/>
        </w:rPr>
        <w:fldChar w:fldCharType="end"/>
      </w:r>
      <w:r w:rsidRPr="00AC518E">
        <w:rPr>
          <w:lang w:val="en-US"/>
        </w:rPr>
        <w:t>, consulté le 1</w:t>
      </w:r>
      <w:r w:rsidRPr="00AC518E">
        <w:rPr>
          <w:vertAlign w:val="superscript"/>
          <w:lang w:val="en-US"/>
        </w:rPr>
        <w:t>er</w:t>
      </w:r>
      <w:r w:rsidRPr="00AC518E">
        <w:rPr>
          <w:lang w:val="en-US"/>
        </w:rPr>
        <w:t xml:space="preserve"> février 2021.</w:t>
      </w:r>
    </w:p>
  </w:footnote>
  <w:footnote w:id="11">
    <w:p w14:paraId="5C4868E6" w14:textId="77777777" w:rsidR="005A2DBF" w:rsidRPr="00AC518E" w:rsidRDefault="005A2DBF" w:rsidP="009A0ACD">
      <w:pPr>
        <w:pStyle w:val="Notedebasdepage"/>
        <w:jc w:val="both"/>
        <w:rPr>
          <w:lang w:val="en-US"/>
        </w:rPr>
      </w:pPr>
      <w:r w:rsidRPr="001A7C84">
        <w:rPr>
          <w:rStyle w:val="Appelnotedebasdep"/>
          <w:rFonts w:asciiTheme="majorHAnsi" w:hAnsiTheme="majorHAnsi" w:cstheme="majorHAnsi"/>
        </w:rPr>
        <w:footnoteRef/>
      </w:r>
      <w:r w:rsidRPr="00AC518E">
        <w:rPr>
          <w:lang w:val="en-US"/>
        </w:rPr>
        <w:t xml:space="preserve"> SIPRI Arms Transfers Database, </w:t>
      </w:r>
      <w:r w:rsidR="00260499">
        <w:fldChar w:fldCharType="begin"/>
      </w:r>
      <w:r w:rsidR="00260499" w:rsidRPr="00AC518E">
        <w:rPr>
          <w:lang w:val="en-US"/>
        </w:rPr>
        <w:instrText xml:space="preserve"> HYPERLINK "https://www.sipri.org/databases/armstransfers" </w:instrText>
      </w:r>
      <w:r w:rsidR="00260499">
        <w:fldChar w:fldCharType="separate"/>
      </w:r>
      <w:r w:rsidRPr="00AC518E">
        <w:rPr>
          <w:rStyle w:val="Lienhypertexte"/>
          <w:rFonts w:asciiTheme="majorHAnsi" w:hAnsiTheme="majorHAnsi" w:cstheme="majorHAnsi"/>
          <w:lang w:val="en-US"/>
        </w:rPr>
        <w:t>https://www.sipri.org/databases/armstransfers</w:t>
      </w:r>
      <w:r w:rsidR="00260499">
        <w:rPr>
          <w:rStyle w:val="Lienhypertexte"/>
          <w:rFonts w:asciiTheme="majorHAnsi" w:hAnsiTheme="majorHAnsi" w:cstheme="majorHAnsi"/>
        </w:rPr>
        <w:fldChar w:fldCharType="end"/>
      </w:r>
      <w:r w:rsidRPr="00AC518E">
        <w:rPr>
          <w:lang w:val="en-US"/>
        </w:rPr>
        <w:t>, consulté le 1</w:t>
      </w:r>
      <w:r w:rsidRPr="00AC518E">
        <w:rPr>
          <w:vertAlign w:val="superscript"/>
          <w:lang w:val="en-US"/>
        </w:rPr>
        <w:t>er</w:t>
      </w:r>
      <w:r w:rsidRPr="00AC518E">
        <w:rPr>
          <w:lang w:val="en-US"/>
        </w:rPr>
        <w:t xml:space="preserve"> février 2021.</w:t>
      </w:r>
    </w:p>
  </w:footnote>
  <w:footnote w:id="12">
    <w:p w14:paraId="00454D43" w14:textId="77777777" w:rsidR="000B591B" w:rsidRPr="000B591B" w:rsidRDefault="000B591B" w:rsidP="000B591B">
      <w:pPr>
        <w:pStyle w:val="Notedebasdepage"/>
        <w:rPr>
          <w:lang w:val="en-US"/>
        </w:rPr>
      </w:pPr>
      <w:r>
        <w:rPr>
          <w:rStyle w:val="Appelnotedebasdep"/>
        </w:rPr>
        <w:footnoteRef/>
      </w:r>
      <w:r w:rsidRPr="000B591B">
        <w:rPr>
          <w:lang w:val="en-US"/>
        </w:rPr>
        <w:t xml:space="preserve"> Bromley, Mark, Neil Cooper, and Paul </w:t>
      </w:r>
      <w:proofErr w:type="spellStart"/>
      <w:r w:rsidRPr="000B591B">
        <w:rPr>
          <w:lang w:val="en-US"/>
        </w:rPr>
        <w:t>Holtom</w:t>
      </w:r>
      <w:proofErr w:type="spellEnd"/>
      <w:r w:rsidRPr="000B591B">
        <w:rPr>
          <w:lang w:val="en-US"/>
        </w:rPr>
        <w:t>. 2012. “The UN Arms Trade Treaty: arms export</w:t>
      </w:r>
    </w:p>
    <w:p w14:paraId="7DB1A308" w14:textId="77777777" w:rsidR="000B591B" w:rsidRDefault="000B591B" w:rsidP="000B591B">
      <w:pPr>
        <w:pStyle w:val="Notedebasdepage"/>
      </w:pPr>
      <w:r w:rsidRPr="000B591B">
        <w:rPr>
          <w:lang w:val="en-US"/>
        </w:rPr>
        <w:t xml:space="preserve">controls, the human security agenda and the lessons of history.” </w:t>
      </w:r>
      <w:r>
        <w:t xml:space="preserve">International </w:t>
      </w:r>
      <w:proofErr w:type="spellStart"/>
      <w:r>
        <w:t>Affairs</w:t>
      </w:r>
      <w:proofErr w:type="spellEnd"/>
      <w:r>
        <w:t xml:space="preserve"> 88 (5</w:t>
      </w:r>
      <w:proofErr w:type="gramStart"/>
      <w:r>
        <w:t>):</w:t>
      </w:r>
      <w:proofErr w:type="gramEnd"/>
    </w:p>
    <w:p w14:paraId="0187A940" w14:textId="7CA73F38" w:rsidR="000B591B" w:rsidRDefault="000B591B" w:rsidP="000B591B">
      <w:pPr>
        <w:pStyle w:val="Notedebasdepage"/>
      </w:pPr>
      <w:r>
        <w:t>1029-1048.</w:t>
      </w:r>
    </w:p>
  </w:footnote>
  <w:footnote w:id="13">
    <w:p w14:paraId="60ED31E5" w14:textId="17864743" w:rsidR="005A2DBF" w:rsidRPr="00AB0EDF" w:rsidRDefault="005A2DBF" w:rsidP="009A0ACD">
      <w:pPr>
        <w:pStyle w:val="Notedebasdepage"/>
        <w:jc w:val="both"/>
      </w:pPr>
      <w:r>
        <w:rPr>
          <w:rStyle w:val="Appelnotedebasdep"/>
        </w:rPr>
        <w:footnoteRef/>
      </w:r>
      <w:r>
        <w:t xml:space="preserve"> </w:t>
      </w:r>
      <w:r w:rsidRPr="00AB0EDF">
        <w:rPr>
          <w:rFonts w:eastAsia="Times New Roman"/>
          <w:color w:val="000000"/>
          <w:shd w:val="clear" w:color="auto" w:fill="FFFFFF"/>
          <w:lang w:eastAsia="en-GB"/>
        </w:rPr>
        <w:t xml:space="preserve">Ceci ne signifie pas que les gouvernements ne changent jamais leurs positions. </w:t>
      </w:r>
      <w:r w:rsidRPr="00A002AA">
        <w:rPr>
          <w:rFonts w:eastAsia="Times New Roman"/>
          <w:color w:val="000000"/>
          <w:shd w:val="clear" w:color="auto" w:fill="FFFFFF"/>
          <w:lang w:eastAsia="en-GB"/>
        </w:rPr>
        <w:t>Depuis 2018, certains États européens ont commencé à restreindre voire arrêter leurs exportations d’armement vers les deux pays du Golfe, comme l’Allemagne, les Pays-Bas, la Belgique, la Norvège ou encore la Suisse</w:t>
      </w:r>
      <w:r>
        <w:rPr>
          <w:rFonts w:eastAsia="Times New Roman"/>
          <w:color w:val="000000"/>
          <w:shd w:val="clear" w:color="auto" w:fill="FFFFFF"/>
          <w:lang w:eastAsia="en-GB"/>
        </w:rPr>
        <w:t xml:space="preserve">, en partie en réponse à la pression de la société civile. C’est également le cas des États-Unis depuis l’élection de Joe </w:t>
      </w:r>
      <w:proofErr w:type="spellStart"/>
      <w:r>
        <w:rPr>
          <w:rFonts w:eastAsia="Times New Roman"/>
          <w:color w:val="000000"/>
          <w:shd w:val="clear" w:color="auto" w:fill="FFFFFF"/>
          <w:lang w:eastAsia="en-GB"/>
        </w:rPr>
        <w:t>Biden</w:t>
      </w:r>
      <w:proofErr w:type="spellEnd"/>
      <w:r>
        <w:rPr>
          <w:rFonts w:eastAsia="Times New Roman"/>
          <w:color w:val="000000"/>
          <w:shd w:val="clear" w:color="auto" w:fill="FFFFFF"/>
          <w:lang w:eastAsia="en-GB"/>
        </w:rPr>
        <w:t xml:space="preserve"> à la Présidence.</w:t>
      </w:r>
    </w:p>
  </w:footnote>
  <w:footnote w:id="14">
    <w:p w14:paraId="00B9C1A0" w14:textId="69A87D73" w:rsidR="00032BA4" w:rsidRPr="00A87BF7" w:rsidRDefault="00032BA4">
      <w:pPr>
        <w:pStyle w:val="Notedebasdepage"/>
        <w:rPr>
          <w:lang w:val="en-US"/>
        </w:rPr>
      </w:pPr>
      <w:r>
        <w:rPr>
          <w:rStyle w:val="Appelnotedebasdep"/>
        </w:rPr>
        <w:footnoteRef/>
      </w:r>
      <w:r>
        <w:t xml:space="preserve"> Hoeffler, Catherine. 2019. ‘L’économie Politique de La Sécurité’. </w:t>
      </w:r>
      <w:proofErr w:type="gramStart"/>
      <w:r>
        <w:t>in</w:t>
      </w:r>
      <w:proofErr w:type="gramEnd"/>
      <w:r>
        <w:t xml:space="preserve"> </w:t>
      </w:r>
      <w:r>
        <w:rPr>
          <w:i/>
          <w:iCs/>
        </w:rPr>
        <w:t xml:space="preserve">Dictionnaire des relations internationales. </w:t>
      </w:r>
      <w:proofErr w:type="spellStart"/>
      <w:r w:rsidRPr="00032BA4">
        <w:rPr>
          <w:i/>
          <w:iCs/>
          <w:lang w:val="en-US"/>
        </w:rPr>
        <w:t>Théories</w:t>
      </w:r>
      <w:proofErr w:type="spellEnd"/>
      <w:r w:rsidRPr="00032BA4">
        <w:rPr>
          <w:i/>
          <w:iCs/>
          <w:lang w:val="en-US"/>
        </w:rPr>
        <w:t xml:space="preserve"> et concepts</w:t>
      </w:r>
      <w:r w:rsidRPr="00032BA4">
        <w:rPr>
          <w:lang w:val="en-US"/>
        </w:rPr>
        <w:t xml:space="preserve">, edited by P. </w:t>
      </w:r>
      <w:proofErr w:type="spellStart"/>
      <w:r w:rsidRPr="00032BA4">
        <w:rPr>
          <w:lang w:val="en-US"/>
        </w:rPr>
        <w:t>Bonditti</w:t>
      </w:r>
      <w:proofErr w:type="spellEnd"/>
      <w:r w:rsidRPr="00032BA4">
        <w:rPr>
          <w:lang w:val="en-US"/>
        </w:rPr>
        <w:t xml:space="preserve"> and A. McLeod. </w:t>
      </w:r>
      <w:r w:rsidRPr="00A87BF7">
        <w:rPr>
          <w:lang w:val="en-US"/>
        </w:rPr>
        <w:t>Montreal: Ed. Athena.</w:t>
      </w:r>
    </w:p>
  </w:footnote>
  <w:footnote w:id="15">
    <w:p w14:paraId="3EE4FEDE" w14:textId="78808884" w:rsidR="005F2C9B" w:rsidRPr="00C63DC1" w:rsidRDefault="005F2C9B">
      <w:pPr>
        <w:pStyle w:val="Notedebasdepage"/>
        <w:rPr>
          <w:lang w:val="en-US"/>
        </w:rPr>
      </w:pPr>
      <w:r>
        <w:rPr>
          <w:rStyle w:val="Appelnotedebasdep"/>
        </w:rPr>
        <w:footnoteRef/>
      </w:r>
      <w:r w:rsidRPr="005F2C9B">
        <w:rPr>
          <w:lang w:val="en-US"/>
        </w:rPr>
        <w:t xml:space="preserve"> </w:t>
      </w:r>
      <w:proofErr w:type="spellStart"/>
      <w:r w:rsidRPr="005F2C9B">
        <w:rPr>
          <w:lang w:val="en-US"/>
        </w:rPr>
        <w:t>Oikonomou</w:t>
      </w:r>
      <w:proofErr w:type="spellEnd"/>
      <w:r w:rsidRPr="005F2C9B">
        <w:rPr>
          <w:lang w:val="en-US"/>
        </w:rPr>
        <w:t xml:space="preserve">, </w:t>
      </w:r>
      <w:proofErr w:type="spellStart"/>
      <w:r w:rsidRPr="005F2C9B">
        <w:rPr>
          <w:lang w:val="en-US"/>
        </w:rPr>
        <w:t>Iraklis</w:t>
      </w:r>
      <w:proofErr w:type="spellEnd"/>
      <w:r w:rsidRPr="005F2C9B">
        <w:rPr>
          <w:lang w:val="en-US"/>
        </w:rPr>
        <w:t xml:space="preserve">. 2012. ‘A Historical Materialist Approach to CSDP’. Pp. 162–87 in </w:t>
      </w:r>
      <w:r w:rsidRPr="005F2C9B">
        <w:rPr>
          <w:i/>
          <w:iCs/>
          <w:lang w:val="en-US"/>
        </w:rPr>
        <w:t xml:space="preserve">Explaining the EU’s Common Security and </w:t>
      </w:r>
      <w:proofErr w:type="spellStart"/>
      <w:r w:rsidRPr="005F2C9B">
        <w:rPr>
          <w:i/>
          <w:iCs/>
          <w:lang w:val="en-US"/>
        </w:rPr>
        <w:t>Defence</w:t>
      </w:r>
      <w:proofErr w:type="spellEnd"/>
      <w:r w:rsidRPr="005F2C9B">
        <w:rPr>
          <w:i/>
          <w:iCs/>
          <w:lang w:val="en-US"/>
        </w:rPr>
        <w:t xml:space="preserve"> Policy</w:t>
      </w:r>
      <w:r w:rsidRPr="005F2C9B">
        <w:rPr>
          <w:lang w:val="en-US"/>
        </w:rPr>
        <w:t xml:space="preserve">, edited by X. </w:t>
      </w:r>
      <w:proofErr w:type="spellStart"/>
      <w:r w:rsidRPr="005F2C9B">
        <w:rPr>
          <w:lang w:val="en-US"/>
        </w:rPr>
        <w:t>Kurowska</w:t>
      </w:r>
      <w:proofErr w:type="spellEnd"/>
      <w:r w:rsidRPr="005F2C9B">
        <w:rPr>
          <w:lang w:val="en-US"/>
        </w:rPr>
        <w:t xml:space="preserve"> and F. Breuer. </w:t>
      </w:r>
      <w:r w:rsidRPr="00C63DC1">
        <w:rPr>
          <w:lang w:val="en-US"/>
        </w:rPr>
        <w:t>London: Palgrave Macmillan UK.</w:t>
      </w:r>
    </w:p>
  </w:footnote>
  <w:footnote w:id="16">
    <w:p w14:paraId="4309506C" w14:textId="5B04E588" w:rsidR="005A2DBF" w:rsidRPr="00364B77" w:rsidRDefault="005A2DBF" w:rsidP="009A0ACD">
      <w:pPr>
        <w:pStyle w:val="Notedebasdepage"/>
        <w:jc w:val="both"/>
        <w:rPr>
          <w:lang w:val="en-US"/>
        </w:rPr>
      </w:pPr>
      <w:r w:rsidRPr="0024423E">
        <w:rPr>
          <w:rStyle w:val="Appelnotedebasdep"/>
          <w:rFonts w:asciiTheme="majorHAnsi" w:hAnsiTheme="majorHAnsi" w:cstheme="majorHAnsi"/>
        </w:rPr>
        <w:footnoteRef/>
      </w:r>
      <w:r w:rsidRPr="005A2DBF">
        <w:rPr>
          <w:lang w:val="en-US"/>
        </w:rPr>
        <w:t xml:space="preserve"> </w:t>
      </w:r>
      <w:r w:rsidRPr="00364B77">
        <w:rPr>
          <w:lang w:val="en-US"/>
        </w:rPr>
        <w:t xml:space="preserve">Erickson, Jennifer. </w:t>
      </w:r>
      <w:r w:rsidRPr="0024423E">
        <w:rPr>
          <w:lang w:val="en-US"/>
        </w:rPr>
        <w:t xml:space="preserve">2015. </w:t>
      </w:r>
      <w:r w:rsidRPr="005A2DBF">
        <w:rPr>
          <w:i/>
          <w:iCs/>
          <w:lang w:val="en-US"/>
        </w:rPr>
        <w:t>Dangerous Trade: Arms Exports, Human Rights, and International Reputation</w:t>
      </w:r>
      <w:r w:rsidRPr="0024423E">
        <w:rPr>
          <w:lang w:val="en-US"/>
        </w:rPr>
        <w:t>. New York: Columbia University Press.</w:t>
      </w:r>
    </w:p>
  </w:footnote>
  <w:footnote w:id="17">
    <w:p w14:paraId="575F14E0" w14:textId="56DAB6DA" w:rsidR="005A2DBF" w:rsidRPr="00A87BF7" w:rsidRDefault="005A2DBF" w:rsidP="009A0ACD">
      <w:pPr>
        <w:pStyle w:val="Notedebasdepage"/>
        <w:jc w:val="both"/>
        <w:rPr>
          <w:lang w:val="en-US"/>
        </w:rPr>
      </w:pPr>
      <w:r>
        <w:rPr>
          <w:rStyle w:val="Appelnotedebasdep"/>
        </w:rPr>
        <w:footnoteRef/>
      </w:r>
      <w:r w:rsidRPr="005A2DBF">
        <w:rPr>
          <w:lang w:val="en-US"/>
        </w:rPr>
        <w:t xml:space="preserve"> </w:t>
      </w:r>
      <w:proofErr w:type="spellStart"/>
      <w:r w:rsidRPr="00364B77">
        <w:rPr>
          <w:lang w:val="en-US"/>
        </w:rPr>
        <w:t>Stavrianakis</w:t>
      </w:r>
      <w:proofErr w:type="spellEnd"/>
      <w:r w:rsidRPr="00364B77">
        <w:rPr>
          <w:lang w:val="en-US"/>
        </w:rPr>
        <w:t xml:space="preserve">, Anna. 2019. ‘Controlling Weapons Circulation in a Postcolonial </w:t>
      </w:r>
      <w:proofErr w:type="spellStart"/>
      <w:r w:rsidRPr="00364B77">
        <w:rPr>
          <w:lang w:val="en-US"/>
        </w:rPr>
        <w:t>Militarised</w:t>
      </w:r>
      <w:proofErr w:type="spellEnd"/>
      <w:r w:rsidRPr="00364B77">
        <w:rPr>
          <w:lang w:val="en-US"/>
        </w:rPr>
        <w:t xml:space="preserve"> World’. </w:t>
      </w:r>
      <w:r w:rsidRPr="005A2DBF">
        <w:rPr>
          <w:i/>
          <w:iCs/>
          <w:lang w:val="en-US"/>
        </w:rPr>
        <w:t>Review of International Studies</w:t>
      </w:r>
      <w:r w:rsidRPr="00420A06">
        <w:rPr>
          <w:lang w:val="en-US"/>
        </w:rPr>
        <w:t xml:space="preserve"> 45(1):57–76. </w:t>
      </w:r>
      <w:r w:rsidRPr="00A87BF7">
        <w:rPr>
          <w:lang w:val="en-US"/>
        </w:rPr>
        <w:t xml:space="preserve">doi: </w:t>
      </w:r>
      <w:r w:rsidR="009C7582" w:rsidRPr="00A87BF7">
        <w:rPr>
          <w:lang w:val="en-US"/>
        </w:rPr>
        <w:t>10.1017/S0260210518000190</w:t>
      </w:r>
    </w:p>
  </w:footnote>
  <w:footnote w:id="18">
    <w:p w14:paraId="2FABC2C0" w14:textId="392DE836" w:rsidR="00CD3196" w:rsidRDefault="00CD3196">
      <w:pPr>
        <w:pStyle w:val="Notedebasdepage"/>
      </w:pPr>
      <w:r>
        <w:rPr>
          <w:rStyle w:val="Appelnotedebasdep"/>
        </w:rPr>
        <w:footnoteRef/>
      </w:r>
      <w:r w:rsidRPr="00CD3196">
        <w:rPr>
          <w:lang w:val="en-US"/>
        </w:rPr>
        <w:t xml:space="preserve"> Hansen, Susanne Therese. </w:t>
      </w:r>
      <w:r w:rsidRPr="00364B77">
        <w:rPr>
          <w:lang w:val="en-US"/>
        </w:rPr>
        <w:t xml:space="preserve">2016. ‘Taking Ambiguity Seriously: Explaining the Indeterminacy of the European Union Conventional Arms Export Control Regime’. </w:t>
      </w:r>
      <w:r w:rsidRPr="005A2DBF">
        <w:rPr>
          <w:i/>
          <w:iCs/>
          <w:lang w:val="en-US"/>
        </w:rPr>
        <w:t>European Journal of International Relations</w:t>
      </w:r>
      <w:r w:rsidRPr="00364B77">
        <w:rPr>
          <w:lang w:val="en-US"/>
        </w:rPr>
        <w:t xml:space="preserve"> 22(1):192–216. </w:t>
      </w:r>
      <w:proofErr w:type="spellStart"/>
      <w:r w:rsidRPr="00364B77">
        <w:rPr>
          <w:lang w:val="en-US"/>
        </w:rPr>
        <w:t>doi</w:t>
      </w:r>
      <w:proofErr w:type="spellEnd"/>
      <w:r w:rsidRPr="00364B77">
        <w:rPr>
          <w:lang w:val="en-US"/>
        </w:rPr>
        <w:t xml:space="preserve">: </w:t>
      </w:r>
      <w:hyperlink r:id="rId8" w:history="1">
        <w:r w:rsidRPr="00364B77">
          <w:rPr>
            <w:lang w:val="en-US"/>
          </w:rPr>
          <w:t>10.1177/1354066115584086</w:t>
        </w:r>
      </w:hyperlink>
      <w:r w:rsidRPr="00364B77">
        <w:rPr>
          <w:lang w:val="en-US"/>
        </w:rPr>
        <w:t>.</w:t>
      </w:r>
    </w:p>
  </w:footnote>
  <w:footnote w:id="19">
    <w:p w14:paraId="75B0C6D0" w14:textId="77777777" w:rsidR="005A2DBF" w:rsidRPr="005A2DBF" w:rsidRDefault="005A2DBF" w:rsidP="009A0ACD">
      <w:pPr>
        <w:pStyle w:val="Notedebasdepage"/>
        <w:jc w:val="both"/>
      </w:pPr>
      <w:r w:rsidRPr="004F72ED">
        <w:rPr>
          <w:rStyle w:val="Appelnotedebasdep"/>
          <w:rFonts w:asciiTheme="majorHAnsi" w:hAnsiTheme="majorHAnsi" w:cstheme="majorHAnsi"/>
        </w:rPr>
        <w:footnoteRef/>
      </w:r>
      <w:r w:rsidRPr="005A2DBF">
        <w:rPr>
          <w:lang w:val="en-US"/>
        </w:rPr>
        <w:t xml:space="preserve"> </w:t>
      </w:r>
      <w:proofErr w:type="spellStart"/>
      <w:r w:rsidRPr="004F72ED">
        <w:rPr>
          <w:lang w:val="en-US"/>
        </w:rPr>
        <w:t>Bitzinger</w:t>
      </w:r>
      <w:proofErr w:type="spellEnd"/>
      <w:r w:rsidRPr="004F72ED">
        <w:rPr>
          <w:lang w:val="en-US"/>
        </w:rPr>
        <w:t xml:space="preserve">, Richard A. </w:t>
      </w:r>
      <w:r>
        <w:rPr>
          <w:lang w:val="en-US"/>
        </w:rPr>
        <w:t xml:space="preserve">2017. </w:t>
      </w:r>
      <w:r w:rsidRPr="005A2DBF">
        <w:rPr>
          <w:i/>
          <w:iCs/>
          <w:lang w:val="en-US"/>
        </w:rPr>
        <w:t xml:space="preserve">Arming Asia. </w:t>
      </w:r>
      <w:proofErr w:type="spellStart"/>
      <w:r w:rsidRPr="005A2DBF">
        <w:rPr>
          <w:i/>
          <w:iCs/>
          <w:lang w:val="en-US"/>
        </w:rPr>
        <w:t>Technonationalism</w:t>
      </w:r>
      <w:proofErr w:type="spellEnd"/>
      <w:r w:rsidRPr="005A2DBF">
        <w:rPr>
          <w:i/>
          <w:iCs/>
          <w:lang w:val="en-US"/>
        </w:rPr>
        <w:t xml:space="preserve"> and its Impact on Local Defense Industries</w:t>
      </w:r>
      <w:r>
        <w:rPr>
          <w:lang w:val="en-US"/>
        </w:rPr>
        <w:t xml:space="preserve">. </w:t>
      </w:r>
      <w:proofErr w:type="gramStart"/>
      <w:r w:rsidRPr="005A2DBF">
        <w:t>London:</w:t>
      </w:r>
      <w:proofErr w:type="gramEnd"/>
      <w:r w:rsidRPr="005A2DBF">
        <w:t xml:space="preserve"> </w:t>
      </w:r>
      <w:proofErr w:type="spellStart"/>
      <w:r w:rsidRPr="005A2DBF">
        <w:t>Routledge</w:t>
      </w:r>
      <w:proofErr w:type="spellEnd"/>
      <w:r w:rsidRPr="005A2DBF">
        <w:t>.</w:t>
      </w:r>
    </w:p>
  </w:footnote>
  <w:footnote w:id="20">
    <w:p w14:paraId="19C819EB" w14:textId="77777777" w:rsidR="005A2DBF" w:rsidRPr="001A7C84" w:rsidRDefault="005A2DBF" w:rsidP="009A0ACD">
      <w:pPr>
        <w:pStyle w:val="Notedebasdepage"/>
        <w:jc w:val="both"/>
      </w:pPr>
      <w:r w:rsidRPr="001A7C84">
        <w:rPr>
          <w:rStyle w:val="Appelnotedebasdep"/>
          <w:rFonts w:asciiTheme="majorHAnsi" w:hAnsiTheme="majorHAnsi" w:cstheme="majorHAnsi"/>
        </w:rPr>
        <w:footnoteRef/>
      </w:r>
      <w:r w:rsidRPr="001A7C84">
        <w:t xml:space="preserve"> SIPRI Arms </w:t>
      </w:r>
      <w:proofErr w:type="spellStart"/>
      <w:r w:rsidRPr="001A7C84">
        <w:t>Industry</w:t>
      </w:r>
      <w:proofErr w:type="spellEnd"/>
      <w:r w:rsidRPr="001A7C84">
        <w:t xml:space="preserve"> </w:t>
      </w:r>
      <w:proofErr w:type="spellStart"/>
      <w:r w:rsidRPr="001A7C84">
        <w:t>Database</w:t>
      </w:r>
      <w:proofErr w:type="spellEnd"/>
      <w:r w:rsidRPr="001A7C84">
        <w:t xml:space="preserve">, </w:t>
      </w:r>
      <w:hyperlink r:id="rId9" w:history="1">
        <w:r w:rsidRPr="001A7C84">
          <w:rPr>
            <w:rStyle w:val="Lienhypertexte"/>
            <w:rFonts w:asciiTheme="majorHAnsi" w:hAnsiTheme="majorHAnsi" w:cstheme="majorHAnsi"/>
          </w:rPr>
          <w:t>https://www.sipri.org/databases/armsindustry</w:t>
        </w:r>
      </w:hyperlink>
      <w:r w:rsidRPr="001A7C84">
        <w:t>, consulté le 1</w:t>
      </w:r>
      <w:r w:rsidRPr="001A7C84">
        <w:rPr>
          <w:vertAlign w:val="superscript"/>
        </w:rPr>
        <w:t>er</w:t>
      </w:r>
      <w:r w:rsidRPr="001A7C84">
        <w:t xml:space="preserve"> février 2021.</w:t>
      </w:r>
    </w:p>
  </w:footnote>
  <w:footnote w:id="21">
    <w:p w14:paraId="2C9705B1" w14:textId="77777777" w:rsidR="005A2DBF" w:rsidRPr="00A52E57" w:rsidRDefault="005A2DBF" w:rsidP="009A0ACD">
      <w:pPr>
        <w:pStyle w:val="Notedebasdepage"/>
        <w:jc w:val="both"/>
        <w:rPr>
          <w:lang w:val="en-US"/>
        </w:rPr>
      </w:pPr>
      <w:r w:rsidRPr="00A52E57">
        <w:rPr>
          <w:rStyle w:val="Appelnotedebasdep"/>
          <w:rFonts w:asciiTheme="majorHAnsi" w:hAnsiTheme="majorHAnsi" w:cstheme="majorHAnsi"/>
        </w:rPr>
        <w:footnoteRef/>
      </w:r>
      <w:r w:rsidRPr="00A52E57">
        <w:t xml:space="preserve"> Béraud-</w:t>
      </w:r>
      <w:proofErr w:type="spellStart"/>
      <w:r w:rsidRPr="00A52E57">
        <w:t>Sudreau</w:t>
      </w:r>
      <w:proofErr w:type="spellEnd"/>
      <w:r w:rsidRPr="00A52E57">
        <w:t xml:space="preserve">, Lucie, et. </w:t>
      </w:r>
      <w:proofErr w:type="gramStart"/>
      <w:r w:rsidRPr="00A52E57">
        <w:t>al</w:t>
      </w:r>
      <w:proofErr w:type="gramEnd"/>
      <w:r w:rsidRPr="00A52E57">
        <w:t xml:space="preserve">. 2020. </w:t>
      </w:r>
      <w:r w:rsidRPr="00A52E57">
        <w:rPr>
          <w:lang w:val="en-US"/>
        </w:rPr>
        <w:t xml:space="preserve">‘Emerging Suppliers in the Global Arms Trade’. </w:t>
      </w:r>
      <w:r w:rsidRPr="00A52E57">
        <w:rPr>
          <w:i/>
          <w:iCs/>
          <w:lang w:val="en-US"/>
        </w:rPr>
        <w:t>SIPRI Insights on Peace and Security</w:t>
      </w:r>
      <w:r w:rsidRPr="00A52E57">
        <w:rPr>
          <w:lang w:val="en-US"/>
        </w:rPr>
        <w:t xml:space="preserve"> 2020/13.</w:t>
      </w:r>
    </w:p>
  </w:footnote>
  <w:footnote w:id="22">
    <w:p w14:paraId="38C22F6B" w14:textId="77777777" w:rsidR="005A2DBF" w:rsidRPr="004F72ED" w:rsidRDefault="005A2DBF" w:rsidP="009A0ACD">
      <w:pPr>
        <w:pStyle w:val="Notedebasdepage"/>
        <w:jc w:val="both"/>
        <w:rPr>
          <w:lang w:val="en-US"/>
        </w:rPr>
      </w:pPr>
      <w:r w:rsidRPr="00A52E57">
        <w:rPr>
          <w:rStyle w:val="Appelnotedebasdep"/>
          <w:rFonts w:asciiTheme="majorHAnsi" w:hAnsiTheme="majorHAnsi" w:cstheme="majorHAnsi"/>
        </w:rPr>
        <w:footnoteRef/>
      </w:r>
      <w:r w:rsidRPr="005A2DBF">
        <w:rPr>
          <w:lang w:val="en-US"/>
        </w:rPr>
        <w:t xml:space="preserve"> </w:t>
      </w:r>
      <w:proofErr w:type="spellStart"/>
      <w:r w:rsidRPr="005A2DBF">
        <w:rPr>
          <w:lang w:val="en-US"/>
        </w:rPr>
        <w:t>Béraud-Sudreau</w:t>
      </w:r>
      <w:proofErr w:type="spellEnd"/>
      <w:r w:rsidRPr="005A2DBF">
        <w:rPr>
          <w:lang w:val="en-US"/>
        </w:rPr>
        <w:t xml:space="preserve">, Lucie, et. al. 2020. </w:t>
      </w:r>
      <w:r w:rsidRPr="00A52E57">
        <w:rPr>
          <w:lang w:val="en-US"/>
        </w:rPr>
        <w:t>‘Mapping the International Presence of the World’s Largest Arms companies</w:t>
      </w:r>
      <w:r w:rsidRPr="004F72ED">
        <w:rPr>
          <w:lang w:val="en-US"/>
        </w:rPr>
        <w:t xml:space="preserve">’. </w:t>
      </w:r>
      <w:r w:rsidRPr="00A52E57">
        <w:rPr>
          <w:i/>
          <w:iCs/>
          <w:lang w:val="en-US"/>
        </w:rPr>
        <w:t>SIPRI Insights on Peace and Security</w:t>
      </w:r>
      <w:r w:rsidRPr="00A52E57">
        <w:rPr>
          <w:lang w:val="en-US"/>
        </w:rPr>
        <w:t xml:space="preserve"> 2020/12.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1804" w14:textId="77777777" w:rsidR="007A1268" w:rsidRDefault="007A1268" w:rsidP="007A1268">
    <w:pPr>
      <w:pStyle w:val="En-tte"/>
      <w:jc w:val="both"/>
    </w:pPr>
    <w:r w:rsidRPr="007A1268">
      <w:rPr>
        <w:noProof/>
      </w:rPr>
      <w:drawing>
        <wp:inline distT="0" distB="0" distL="0" distR="0" wp14:anchorId="5BD76095" wp14:editId="70A11EF9">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B47AA"/>
    <w:multiLevelType w:val="multilevel"/>
    <w:tmpl w:val="F0126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72A"/>
    <w:rsid w:val="0000797A"/>
    <w:rsid w:val="00023E4F"/>
    <w:rsid w:val="00031798"/>
    <w:rsid w:val="00032BA4"/>
    <w:rsid w:val="000403D7"/>
    <w:rsid w:val="0004529F"/>
    <w:rsid w:val="000462B1"/>
    <w:rsid w:val="00072DB9"/>
    <w:rsid w:val="00074E9A"/>
    <w:rsid w:val="00076CDA"/>
    <w:rsid w:val="000968FF"/>
    <w:rsid w:val="000A449F"/>
    <w:rsid w:val="000B02D3"/>
    <w:rsid w:val="000B2407"/>
    <w:rsid w:val="000B591B"/>
    <w:rsid w:val="000B61C6"/>
    <w:rsid w:val="000C33A3"/>
    <w:rsid w:val="000C3EA2"/>
    <w:rsid w:val="000E1207"/>
    <w:rsid w:val="000E3074"/>
    <w:rsid w:val="00100FDE"/>
    <w:rsid w:val="00115BDE"/>
    <w:rsid w:val="001264AC"/>
    <w:rsid w:val="001571A5"/>
    <w:rsid w:val="00157EE4"/>
    <w:rsid w:val="001628A5"/>
    <w:rsid w:val="001652BA"/>
    <w:rsid w:val="00167486"/>
    <w:rsid w:val="00185648"/>
    <w:rsid w:val="001A60CD"/>
    <w:rsid w:val="001B22FA"/>
    <w:rsid w:val="001C0661"/>
    <w:rsid w:val="001E233F"/>
    <w:rsid w:val="001E4C4E"/>
    <w:rsid w:val="001F2932"/>
    <w:rsid w:val="0020114A"/>
    <w:rsid w:val="00206CEA"/>
    <w:rsid w:val="00235E33"/>
    <w:rsid w:val="00245BA7"/>
    <w:rsid w:val="00260499"/>
    <w:rsid w:val="00263EEF"/>
    <w:rsid w:val="0028766C"/>
    <w:rsid w:val="002A58FC"/>
    <w:rsid w:val="002C2DA9"/>
    <w:rsid w:val="00306C03"/>
    <w:rsid w:val="003253C2"/>
    <w:rsid w:val="003616E4"/>
    <w:rsid w:val="00370594"/>
    <w:rsid w:val="003A3728"/>
    <w:rsid w:val="003B1DDC"/>
    <w:rsid w:val="003B3E7A"/>
    <w:rsid w:val="003C59A5"/>
    <w:rsid w:val="003F3252"/>
    <w:rsid w:val="00411810"/>
    <w:rsid w:val="00414835"/>
    <w:rsid w:val="00424939"/>
    <w:rsid w:val="00424A7A"/>
    <w:rsid w:val="00427A80"/>
    <w:rsid w:val="004345FE"/>
    <w:rsid w:val="00437286"/>
    <w:rsid w:val="00440B6F"/>
    <w:rsid w:val="00455B3D"/>
    <w:rsid w:val="00463500"/>
    <w:rsid w:val="00472187"/>
    <w:rsid w:val="00481151"/>
    <w:rsid w:val="00481F8F"/>
    <w:rsid w:val="004C22B5"/>
    <w:rsid w:val="004C6C7A"/>
    <w:rsid w:val="004C72A2"/>
    <w:rsid w:val="004D6529"/>
    <w:rsid w:val="004E2402"/>
    <w:rsid w:val="004E322C"/>
    <w:rsid w:val="004F0675"/>
    <w:rsid w:val="004F57E5"/>
    <w:rsid w:val="004F73E1"/>
    <w:rsid w:val="00501904"/>
    <w:rsid w:val="005069BE"/>
    <w:rsid w:val="00532C3F"/>
    <w:rsid w:val="00563109"/>
    <w:rsid w:val="0057283C"/>
    <w:rsid w:val="00586767"/>
    <w:rsid w:val="00596FDC"/>
    <w:rsid w:val="005A2DBF"/>
    <w:rsid w:val="005A77EA"/>
    <w:rsid w:val="005C5829"/>
    <w:rsid w:val="005F2C9B"/>
    <w:rsid w:val="00604921"/>
    <w:rsid w:val="00617961"/>
    <w:rsid w:val="00622F03"/>
    <w:rsid w:val="006249C1"/>
    <w:rsid w:val="00632336"/>
    <w:rsid w:val="0063372A"/>
    <w:rsid w:val="006342A5"/>
    <w:rsid w:val="006432B1"/>
    <w:rsid w:val="00645703"/>
    <w:rsid w:val="00657515"/>
    <w:rsid w:val="00681218"/>
    <w:rsid w:val="006841F9"/>
    <w:rsid w:val="00685886"/>
    <w:rsid w:val="006A4484"/>
    <w:rsid w:val="006A51B2"/>
    <w:rsid w:val="006C7C86"/>
    <w:rsid w:val="006E3094"/>
    <w:rsid w:val="006E7A74"/>
    <w:rsid w:val="00724521"/>
    <w:rsid w:val="0072515D"/>
    <w:rsid w:val="0073080B"/>
    <w:rsid w:val="00740D4F"/>
    <w:rsid w:val="00743F98"/>
    <w:rsid w:val="00745714"/>
    <w:rsid w:val="007529A2"/>
    <w:rsid w:val="00756AA7"/>
    <w:rsid w:val="007701E0"/>
    <w:rsid w:val="0078149D"/>
    <w:rsid w:val="007922AF"/>
    <w:rsid w:val="00792FBC"/>
    <w:rsid w:val="007A1268"/>
    <w:rsid w:val="007B5D97"/>
    <w:rsid w:val="007D45F3"/>
    <w:rsid w:val="007E729E"/>
    <w:rsid w:val="007F138D"/>
    <w:rsid w:val="008205DB"/>
    <w:rsid w:val="00865FAE"/>
    <w:rsid w:val="008766EF"/>
    <w:rsid w:val="008B1967"/>
    <w:rsid w:val="008C7D8A"/>
    <w:rsid w:val="008D3DF4"/>
    <w:rsid w:val="008D57AB"/>
    <w:rsid w:val="008E46DD"/>
    <w:rsid w:val="008E5CFF"/>
    <w:rsid w:val="008E78F1"/>
    <w:rsid w:val="008F337F"/>
    <w:rsid w:val="0091635A"/>
    <w:rsid w:val="009243CE"/>
    <w:rsid w:val="00925C25"/>
    <w:rsid w:val="00935F9D"/>
    <w:rsid w:val="009403BD"/>
    <w:rsid w:val="00953330"/>
    <w:rsid w:val="00961394"/>
    <w:rsid w:val="0096374E"/>
    <w:rsid w:val="00966251"/>
    <w:rsid w:val="0098253B"/>
    <w:rsid w:val="009A0ACD"/>
    <w:rsid w:val="009A283E"/>
    <w:rsid w:val="009A44D3"/>
    <w:rsid w:val="009C7582"/>
    <w:rsid w:val="009F57ED"/>
    <w:rsid w:val="00A13C81"/>
    <w:rsid w:val="00A4309D"/>
    <w:rsid w:val="00A55C33"/>
    <w:rsid w:val="00A7708D"/>
    <w:rsid w:val="00A8559A"/>
    <w:rsid w:val="00A87BF7"/>
    <w:rsid w:val="00A958AB"/>
    <w:rsid w:val="00AB798E"/>
    <w:rsid w:val="00AC518E"/>
    <w:rsid w:val="00AD258A"/>
    <w:rsid w:val="00AD7F03"/>
    <w:rsid w:val="00AE4248"/>
    <w:rsid w:val="00AF63A5"/>
    <w:rsid w:val="00B05675"/>
    <w:rsid w:val="00B16C10"/>
    <w:rsid w:val="00B24251"/>
    <w:rsid w:val="00B50C64"/>
    <w:rsid w:val="00B75C30"/>
    <w:rsid w:val="00B83048"/>
    <w:rsid w:val="00B90D39"/>
    <w:rsid w:val="00B94F36"/>
    <w:rsid w:val="00BB0030"/>
    <w:rsid w:val="00BB1A65"/>
    <w:rsid w:val="00BB24BF"/>
    <w:rsid w:val="00BC76CE"/>
    <w:rsid w:val="00BF0C14"/>
    <w:rsid w:val="00C1535A"/>
    <w:rsid w:val="00C2151B"/>
    <w:rsid w:val="00C35861"/>
    <w:rsid w:val="00C3653A"/>
    <w:rsid w:val="00C43130"/>
    <w:rsid w:val="00C5383A"/>
    <w:rsid w:val="00C63DC1"/>
    <w:rsid w:val="00C70344"/>
    <w:rsid w:val="00C71D32"/>
    <w:rsid w:val="00C72386"/>
    <w:rsid w:val="00C92AF8"/>
    <w:rsid w:val="00CA54CB"/>
    <w:rsid w:val="00CA6A71"/>
    <w:rsid w:val="00CB3A89"/>
    <w:rsid w:val="00CB76E1"/>
    <w:rsid w:val="00CD2835"/>
    <w:rsid w:val="00CD3196"/>
    <w:rsid w:val="00CE3519"/>
    <w:rsid w:val="00CE415E"/>
    <w:rsid w:val="00D06258"/>
    <w:rsid w:val="00D128B5"/>
    <w:rsid w:val="00D147C4"/>
    <w:rsid w:val="00D454B0"/>
    <w:rsid w:val="00D56B3F"/>
    <w:rsid w:val="00D70DD6"/>
    <w:rsid w:val="00D81B12"/>
    <w:rsid w:val="00D85E7E"/>
    <w:rsid w:val="00D85FB6"/>
    <w:rsid w:val="00D9144D"/>
    <w:rsid w:val="00D960E5"/>
    <w:rsid w:val="00DA1B1B"/>
    <w:rsid w:val="00DA63DC"/>
    <w:rsid w:val="00DC1AAE"/>
    <w:rsid w:val="00DD013E"/>
    <w:rsid w:val="00DD1322"/>
    <w:rsid w:val="00DE6C9B"/>
    <w:rsid w:val="00DF040B"/>
    <w:rsid w:val="00DF1D51"/>
    <w:rsid w:val="00DF54FA"/>
    <w:rsid w:val="00E02D38"/>
    <w:rsid w:val="00E213B0"/>
    <w:rsid w:val="00E248D4"/>
    <w:rsid w:val="00E326C5"/>
    <w:rsid w:val="00E359B2"/>
    <w:rsid w:val="00E623AC"/>
    <w:rsid w:val="00E62C0C"/>
    <w:rsid w:val="00E64949"/>
    <w:rsid w:val="00E721EE"/>
    <w:rsid w:val="00E73F98"/>
    <w:rsid w:val="00E749EA"/>
    <w:rsid w:val="00E75C6B"/>
    <w:rsid w:val="00E82115"/>
    <w:rsid w:val="00E86EB4"/>
    <w:rsid w:val="00E957F2"/>
    <w:rsid w:val="00ED180E"/>
    <w:rsid w:val="00ED5C35"/>
    <w:rsid w:val="00EE1383"/>
    <w:rsid w:val="00EF0B09"/>
    <w:rsid w:val="00F0353B"/>
    <w:rsid w:val="00F049B7"/>
    <w:rsid w:val="00F30D2B"/>
    <w:rsid w:val="00F43C5F"/>
    <w:rsid w:val="00F47044"/>
    <w:rsid w:val="00F52BA9"/>
    <w:rsid w:val="00F607AA"/>
    <w:rsid w:val="00F64786"/>
    <w:rsid w:val="00F70913"/>
    <w:rsid w:val="00FA7E05"/>
    <w:rsid w:val="00FB0063"/>
    <w:rsid w:val="00FF1425"/>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81D9"/>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4">
    <w:name w:val="heading 4"/>
    <w:basedOn w:val="Normal"/>
    <w:link w:val="Titre4Car"/>
    <w:uiPriority w:val="9"/>
    <w:qFormat/>
    <w:rsid w:val="008D3DF4"/>
    <w:pPr>
      <w:spacing w:before="100" w:beforeAutospacing="1" w:after="100" w:afterAutospacing="1"/>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 w:type="paragraph" w:styleId="Sansinterligne">
    <w:name w:val="No Spacing"/>
    <w:uiPriority w:val="1"/>
    <w:qFormat/>
    <w:rsid w:val="008D3DF4"/>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4Car">
    <w:name w:val="Titre 4 Car"/>
    <w:basedOn w:val="Policepardfaut"/>
    <w:link w:val="Titre4"/>
    <w:uiPriority w:val="9"/>
    <w:rsid w:val="008D3DF4"/>
    <w:rPr>
      <w:rFonts w:eastAsia="Times New Roman"/>
      <w:b/>
      <w:bCs/>
      <w:sz w:val="24"/>
      <w:szCs w:val="24"/>
      <w:bdr w:val="none" w:sz="0" w:space="0" w:color="auto"/>
    </w:rPr>
  </w:style>
  <w:style w:type="paragraph" w:styleId="Textedebulles">
    <w:name w:val="Balloon Text"/>
    <w:basedOn w:val="Normal"/>
    <w:link w:val="TextedebullesCar"/>
    <w:uiPriority w:val="99"/>
    <w:semiHidden/>
    <w:unhideWhenUsed/>
    <w:rsid w:val="005A2DBF"/>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A2DBF"/>
    <w:rPr>
      <w:rFonts w:eastAsiaTheme="minorHAnsi"/>
      <w:sz w:val="18"/>
      <w:szCs w:val="18"/>
      <w:bdr w:val="none" w:sz="0" w:space="0" w:color="auto"/>
      <w:lang w:eastAsia="en-US"/>
    </w:rPr>
  </w:style>
  <w:style w:type="paragraph" w:styleId="Commentaire">
    <w:name w:val="annotation text"/>
    <w:basedOn w:val="Normal"/>
    <w:link w:val="CommentaireCar"/>
    <w:uiPriority w:val="99"/>
    <w:semiHidden/>
    <w:unhideWhenUsed/>
    <w:rsid w:val="002C2DA9"/>
    <w:rPr>
      <w:sz w:val="20"/>
      <w:szCs w:val="20"/>
    </w:rPr>
  </w:style>
  <w:style w:type="character" w:customStyle="1" w:styleId="CommentaireCar">
    <w:name w:val="Commentaire Car"/>
    <w:basedOn w:val="Policepardfaut"/>
    <w:link w:val="Commentaire"/>
    <w:uiPriority w:val="99"/>
    <w:semiHidden/>
    <w:rsid w:val="002C2DA9"/>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C2DA9"/>
    <w:rPr>
      <w:b/>
      <w:bCs/>
    </w:rPr>
  </w:style>
  <w:style w:type="character" w:customStyle="1" w:styleId="ObjetducommentaireCar">
    <w:name w:val="Objet du commentaire Car"/>
    <w:basedOn w:val="CommentaireCar"/>
    <w:link w:val="Objetducommentaire"/>
    <w:uiPriority w:val="99"/>
    <w:semiHidden/>
    <w:rsid w:val="002C2DA9"/>
    <w:rPr>
      <w:rFonts w:asciiTheme="minorHAnsi" w:eastAsiaTheme="minorHAnsi" w:hAnsiTheme="minorHAnsi" w:cstheme="minorBidi"/>
      <w:b/>
      <w:bCs/>
      <w:bdr w:val="none" w:sz="0" w:space="0" w:color="auto"/>
      <w:lang w:eastAsia="en-US"/>
    </w:rPr>
  </w:style>
  <w:style w:type="paragraph" w:styleId="NormalWeb">
    <w:name w:val="Normal (Web)"/>
    <w:basedOn w:val="Normal"/>
    <w:uiPriority w:val="99"/>
    <w:unhideWhenUsed/>
    <w:rsid w:val="00157EE4"/>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E7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34176">
      <w:bodyDiv w:val="1"/>
      <w:marLeft w:val="0"/>
      <w:marRight w:val="0"/>
      <w:marTop w:val="0"/>
      <w:marBottom w:val="0"/>
      <w:divBdr>
        <w:top w:val="none" w:sz="0" w:space="0" w:color="auto"/>
        <w:left w:val="none" w:sz="0" w:space="0" w:color="auto"/>
        <w:bottom w:val="none" w:sz="0" w:space="0" w:color="auto"/>
        <w:right w:val="none" w:sz="0" w:space="0" w:color="auto"/>
      </w:divBdr>
    </w:div>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31615019">
      <w:bodyDiv w:val="1"/>
      <w:marLeft w:val="0"/>
      <w:marRight w:val="0"/>
      <w:marTop w:val="0"/>
      <w:marBottom w:val="0"/>
      <w:divBdr>
        <w:top w:val="none" w:sz="0" w:space="0" w:color="auto"/>
        <w:left w:val="none" w:sz="0" w:space="0" w:color="auto"/>
        <w:bottom w:val="none" w:sz="0" w:space="0" w:color="auto"/>
        <w:right w:val="none" w:sz="0" w:space="0" w:color="auto"/>
      </w:divBdr>
      <w:divsChild>
        <w:div w:id="168957713">
          <w:marLeft w:val="480"/>
          <w:marRight w:val="0"/>
          <w:marTop w:val="0"/>
          <w:marBottom w:val="0"/>
          <w:divBdr>
            <w:top w:val="none" w:sz="0" w:space="0" w:color="auto"/>
            <w:left w:val="none" w:sz="0" w:space="0" w:color="auto"/>
            <w:bottom w:val="none" w:sz="0" w:space="0" w:color="auto"/>
            <w:right w:val="none" w:sz="0" w:space="0" w:color="auto"/>
          </w:divBdr>
          <w:divsChild>
            <w:div w:id="283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67824943">
      <w:bodyDiv w:val="1"/>
      <w:marLeft w:val="0"/>
      <w:marRight w:val="0"/>
      <w:marTop w:val="0"/>
      <w:marBottom w:val="0"/>
      <w:divBdr>
        <w:top w:val="none" w:sz="0" w:space="0" w:color="auto"/>
        <w:left w:val="none" w:sz="0" w:space="0" w:color="auto"/>
        <w:bottom w:val="none" w:sz="0" w:space="0" w:color="auto"/>
        <w:right w:val="none" w:sz="0" w:space="0" w:color="auto"/>
      </w:divBdr>
      <w:divsChild>
        <w:div w:id="1792282008">
          <w:marLeft w:val="0"/>
          <w:marRight w:val="0"/>
          <w:marTop w:val="0"/>
          <w:marBottom w:val="0"/>
          <w:divBdr>
            <w:top w:val="none" w:sz="0" w:space="0" w:color="auto"/>
            <w:left w:val="none" w:sz="0" w:space="0" w:color="auto"/>
            <w:bottom w:val="none" w:sz="0" w:space="0" w:color="auto"/>
            <w:right w:val="none" w:sz="0" w:space="0" w:color="auto"/>
          </w:divBdr>
          <w:divsChild>
            <w:div w:id="69230091">
              <w:marLeft w:val="0"/>
              <w:marRight w:val="0"/>
              <w:marTop w:val="0"/>
              <w:marBottom w:val="0"/>
              <w:divBdr>
                <w:top w:val="none" w:sz="0" w:space="0" w:color="auto"/>
                <w:left w:val="none" w:sz="0" w:space="0" w:color="auto"/>
                <w:bottom w:val="none" w:sz="0" w:space="0" w:color="auto"/>
                <w:right w:val="none" w:sz="0" w:space="0" w:color="auto"/>
              </w:divBdr>
              <w:divsChild>
                <w:div w:id="884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599603951">
      <w:bodyDiv w:val="1"/>
      <w:marLeft w:val="0"/>
      <w:marRight w:val="0"/>
      <w:marTop w:val="0"/>
      <w:marBottom w:val="0"/>
      <w:divBdr>
        <w:top w:val="none" w:sz="0" w:space="0" w:color="auto"/>
        <w:left w:val="none" w:sz="0" w:space="0" w:color="auto"/>
        <w:bottom w:val="none" w:sz="0" w:space="0" w:color="auto"/>
        <w:right w:val="none" w:sz="0" w:space="0" w:color="auto"/>
      </w:divBdr>
      <w:divsChild>
        <w:div w:id="158809313">
          <w:marLeft w:val="480"/>
          <w:marRight w:val="0"/>
          <w:marTop w:val="0"/>
          <w:marBottom w:val="0"/>
          <w:divBdr>
            <w:top w:val="none" w:sz="0" w:space="0" w:color="auto"/>
            <w:left w:val="none" w:sz="0" w:space="0" w:color="auto"/>
            <w:bottom w:val="none" w:sz="0" w:space="0" w:color="auto"/>
            <w:right w:val="none" w:sz="0" w:space="0" w:color="auto"/>
          </w:divBdr>
          <w:divsChild>
            <w:div w:id="12488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6009">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75487784">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845562341">
      <w:bodyDiv w:val="1"/>
      <w:marLeft w:val="0"/>
      <w:marRight w:val="0"/>
      <w:marTop w:val="0"/>
      <w:marBottom w:val="0"/>
      <w:divBdr>
        <w:top w:val="none" w:sz="0" w:space="0" w:color="auto"/>
        <w:left w:val="none" w:sz="0" w:space="0" w:color="auto"/>
        <w:bottom w:val="none" w:sz="0" w:space="0" w:color="auto"/>
        <w:right w:val="none" w:sz="0" w:space="0" w:color="auto"/>
      </w:divBdr>
      <w:divsChild>
        <w:div w:id="29378253">
          <w:marLeft w:val="480"/>
          <w:marRight w:val="0"/>
          <w:marTop w:val="0"/>
          <w:marBottom w:val="0"/>
          <w:divBdr>
            <w:top w:val="none" w:sz="0" w:space="0" w:color="auto"/>
            <w:left w:val="none" w:sz="0" w:space="0" w:color="auto"/>
            <w:bottom w:val="none" w:sz="0" w:space="0" w:color="auto"/>
            <w:right w:val="none" w:sz="0" w:space="0" w:color="auto"/>
          </w:divBdr>
          <w:divsChild>
            <w:div w:id="132462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989989464">
      <w:bodyDiv w:val="1"/>
      <w:marLeft w:val="0"/>
      <w:marRight w:val="0"/>
      <w:marTop w:val="0"/>
      <w:marBottom w:val="0"/>
      <w:divBdr>
        <w:top w:val="none" w:sz="0" w:space="0" w:color="auto"/>
        <w:left w:val="none" w:sz="0" w:space="0" w:color="auto"/>
        <w:bottom w:val="none" w:sz="0" w:space="0" w:color="auto"/>
        <w:right w:val="none" w:sz="0" w:space="0" w:color="auto"/>
      </w:divBdr>
      <w:divsChild>
        <w:div w:id="913902274">
          <w:marLeft w:val="480"/>
          <w:marRight w:val="0"/>
          <w:marTop w:val="0"/>
          <w:marBottom w:val="0"/>
          <w:divBdr>
            <w:top w:val="none" w:sz="0" w:space="0" w:color="auto"/>
            <w:left w:val="none" w:sz="0" w:space="0" w:color="auto"/>
            <w:bottom w:val="none" w:sz="0" w:space="0" w:color="auto"/>
            <w:right w:val="none" w:sz="0" w:space="0" w:color="auto"/>
          </w:divBdr>
          <w:divsChild>
            <w:div w:id="2554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861712">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20996569">
      <w:bodyDiv w:val="1"/>
      <w:marLeft w:val="0"/>
      <w:marRight w:val="0"/>
      <w:marTop w:val="0"/>
      <w:marBottom w:val="0"/>
      <w:divBdr>
        <w:top w:val="none" w:sz="0" w:space="0" w:color="auto"/>
        <w:left w:val="none" w:sz="0" w:space="0" w:color="auto"/>
        <w:bottom w:val="none" w:sz="0" w:space="0" w:color="auto"/>
        <w:right w:val="none" w:sz="0" w:space="0" w:color="auto"/>
      </w:divBdr>
      <w:divsChild>
        <w:div w:id="268852175">
          <w:marLeft w:val="0"/>
          <w:marRight w:val="0"/>
          <w:marTop w:val="0"/>
          <w:marBottom w:val="0"/>
          <w:divBdr>
            <w:top w:val="none" w:sz="0" w:space="0" w:color="auto"/>
            <w:left w:val="none" w:sz="0" w:space="0" w:color="auto"/>
            <w:bottom w:val="none" w:sz="0" w:space="0" w:color="auto"/>
            <w:right w:val="none" w:sz="0" w:space="0" w:color="auto"/>
          </w:divBdr>
          <w:divsChild>
            <w:div w:id="1698772406">
              <w:marLeft w:val="0"/>
              <w:marRight w:val="0"/>
              <w:marTop w:val="0"/>
              <w:marBottom w:val="0"/>
              <w:divBdr>
                <w:top w:val="none" w:sz="0" w:space="0" w:color="auto"/>
                <w:left w:val="none" w:sz="0" w:space="0" w:color="auto"/>
                <w:bottom w:val="none" w:sz="0" w:space="0" w:color="auto"/>
                <w:right w:val="none" w:sz="0" w:space="0" w:color="auto"/>
              </w:divBdr>
              <w:divsChild>
                <w:div w:id="81834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613051302">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00758101">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876841879">
      <w:bodyDiv w:val="1"/>
      <w:marLeft w:val="0"/>
      <w:marRight w:val="0"/>
      <w:marTop w:val="0"/>
      <w:marBottom w:val="0"/>
      <w:divBdr>
        <w:top w:val="none" w:sz="0" w:space="0" w:color="auto"/>
        <w:left w:val="none" w:sz="0" w:space="0" w:color="auto"/>
        <w:bottom w:val="none" w:sz="0" w:space="0" w:color="auto"/>
        <w:right w:val="none" w:sz="0" w:space="0" w:color="auto"/>
      </w:divBdr>
    </w:div>
    <w:div w:id="1957179199">
      <w:bodyDiv w:val="1"/>
      <w:marLeft w:val="0"/>
      <w:marRight w:val="0"/>
      <w:marTop w:val="0"/>
      <w:marBottom w:val="0"/>
      <w:divBdr>
        <w:top w:val="none" w:sz="0" w:space="0" w:color="auto"/>
        <w:left w:val="none" w:sz="0" w:space="0" w:color="auto"/>
        <w:bottom w:val="none" w:sz="0" w:space="0" w:color="auto"/>
        <w:right w:val="none" w:sz="0" w:space="0" w:color="auto"/>
      </w:divBdr>
      <w:divsChild>
        <w:div w:id="982000355">
          <w:marLeft w:val="480"/>
          <w:marRight w:val="0"/>
          <w:marTop w:val="0"/>
          <w:marBottom w:val="0"/>
          <w:divBdr>
            <w:top w:val="none" w:sz="0" w:space="0" w:color="auto"/>
            <w:left w:val="none" w:sz="0" w:space="0" w:color="auto"/>
            <w:bottom w:val="none" w:sz="0" w:space="0" w:color="auto"/>
            <w:right w:val="none" w:sz="0" w:space="0" w:color="auto"/>
          </w:divBdr>
          <w:divsChild>
            <w:div w:id="10175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177/1354066115584086" TargetMode="External"/><Relationship Id="rId3" Type="http://schemas.openxmlformats.org/officeDocument/2006/relationships/hyperlink" Target="https://doi.org/10.1177/0022343317740417" TargetMode="External"/><Relationship Id="rId7" Type="http://schemas.openxmlformats.org/officeDocument/2006/relationships/hyperlink" Target="https://doi.org/10.1007/s10551-009-0361-0" TargetMode="External"/><Relationship Id="rId2" Type="http://schemas.openxmlformats.org/officeDocument/2006/relationships/hyperlink" Target="https://doi.org/10.1177/0022343302039006003" TargetMode="External"/><Relationship Id="rId1" Type="http://schemas.openxmlformats.org/officeDocument/2006/relationships/hyperlink" Target="https://doi.org/10.1080/10242694.2018.1488371" TargetMode="External"/><Relationship Id="rId6" Type="http://schemas.openxmlformats.org/officeDocument/2006/relationships/hyperlink" Target="https://www.e-ir.info/2013/07/18/just-war-theory-and-the-ethics-of-drone-warfare/" TargetMode="External"/><Relationship Id="rId5" Type="http://schemas.openxmlformats.org/officeDocument/2006/relationships/hyperlink" Target="https://doi.org/10.1177/0047117818811892" TargetMode="External"/><Relationship Id="rId4" Type="http://schemas.openxmlformats.org/officeDocument/2006/relationships/hyperlink" Target="https://www.un.org/disarmament/" TargetMode="External"/><Relationship Id="rId9" Type="http://schemas.openxmlformats.org/officeDocument/2006/relationships/hyperlink" Target="https://www.sipri.org/databases/armsindust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7F2B83A-D64A-7841-9419-5905F0A2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3903</Words>
  <Characters>21471</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2021-02-23T15:35:00Z</dcterms:created>
  <dcterms:modified xsi:type="dcterms:W3CDTF">2021-02-23T15:35:00Z</dcterms:modified>
</cp:coreProperties>
</file>