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808A" w14:textId="77777777" w:rsidR="0063372A" w:rsidRDefault="0063372A" w:rsidP="0063372A">
      <w:pPr>
        <w:outlineLvl w:val="0"/>
        <w:rPr>
          <w:rFonts w:ascii="Times" w:hAnsi="Times"/>
        </w:rPr>
      </w:pPr>
    </w:p>
    <w:p w14:paraId="38ECF8FD" w14:textId="77777777" w:rsidR="00E75C6B" w:rsidRPr="007B3030" w:rsidRDefault="007B3030" w:rsidP="00E75C6B">
      <w:pPr>
        <w:pStyle w:val="VDITitre"/>
      </w:pPr>
      <w:r w:rsidRPr="007B3030">
        <w:t xml:space="preserve">La morale, une </w:t>
      </w:r>
      <w:r>
        <w:t>fable ?</w:t>
      </w:r>
    </w:p>
    <w:p w14:paraId="7618C6FE" w14:textId="77777777" w:rsidR="007B3030" w:rsidRPr="007B3030" w:rsidRDefault="008B1967" w:rsidP="007B3030">
      <w:pPr>
        <w:pStyle w:val="VDIAuteur"/>
      </w:pPr>
      <w:proofErr w:type="gramStart"/>
      <w:r w:rsidRPr="007B3030">
        <w:t>p</w:t>
      </w:r>
      <w:r w:rsidR="00E75C6B" w:rsidRPr="007B3030">
        <w:t>ar</w:t>
      </w:r>
      <w:proofErr w:type="gramEnd"/>
      <w:r w:rsidR="00E75C6B" w:rsidRPr="007B3030">
        <w:t xml:space="preserve"> </w:t>
      </w:r>
      <w:r w:rsidR="007B3030">
        <w:t xml:space="preserve">Simon-Pierre </w:t>
      </w:r>
      <w:proofErr w:type="spellStart"/>
      <w:r w:rsidR="007B3030">
        <w:t>Chevarie</w:t>
      </w:r>
      <w:proofErr w:type="spellEnd"/>
      <w:r w:rsidR="007B3030">
        <w:t xml:space="preserve"> Cossette</w:t>
      </w:r>
    </w:p>
    <w:p w14:paraId="2F96EA3F" w14:textId="71946476" w:rsidR="00E75C6B" w:rsidRPr="007B3030" w:rsidRDefault="00E340B5" w:rsidP="00E75C6B">
      <w:pPr>
        <w:pStyle w:val="VDIChapo"/>
        <w:rPr>
          <w:lang w:val="fr-FR"/>
        </w:rPr>
      </w:pPr>
      <w:r>
        <w:rPr>
          <w:lang w:val="fr-FR"/>
        </w:rPr>
        <w:t xml:space="preserve">La </w:t>
      </w:r>
      <w:proofErr w:type="spellStart"/>
      <w:r>
        <w:rPr>
          <w:lang w:val="fr-FR"/>
        </w:rPr>
        <w:t>métaéthique</w:t>
      </w:r>
      <w:proofErr w:type="spellEnd"/>
      <w:r>
        <w:rPr>
          <w:lang w:val="fr-FR"/>
        </w:rPr>
        <w:t xml:space="preserve"> est l’étude des questions qui portent sur la morale sans être elles-mêmes des questions morales. Deux ouvrages cartographient cet univers fascinant.</w:t>
      </w:r>
    </w:p>
    <w:p w14:paraId="4BA542FC" w14:textId="36E38DE7" w:rsidR="007B3030" w:rsidRPr="00F77DEF" w:rsidRDefault="00E75C6B" w:rsidP="00F77DEF">
      <w:pPr>
        <w:pStyle w:val="VDIRecens"/>
      </w:pPr>
      <w:r w:rsidRPr="007B3030">
        <w:t>À propos de :</w:t>
      </w:r>
      <w:r w:rsidR="008B1967" w:rsidRPr="007B3030">
        <w:t xml:space="preserve"> </w:t>
      </w:r>
      <w:r w:rsidR="007B3030">
        <w:t xml:space="preserve">F. Jaquet et H. </w:t>
      </w:r>
      <w:proofErr w:type="spellStart"/>
      <w:r w:rsidR="007B3030">
        <w:t>Naar</w:t>
      </w:r>
      <w:proofErr w:type="spellEnd"/>
      <w:r w:rsidR="007B3030">
        <w:t xml:space="preserve">, </w:t>
      </w:r>
      <w:r w:rsidR="007B3030" w:rsidRPr="007B3030">
        <w:rPr>
          <w:i/>
          <w:iCs/>
        </w:rPr>
        <w:t>Qui peut sauver la morale</w:t>
      </w:r>
      <w:r w:rsidR="00C867A3">
        <w:rPr>
          <w:i/>
          <w:iCs/>
        </w:rPr>
        <w:t> </w:t>
      </w:r>
      <w:r w:rsidR="007B3030" w:rsidRPr="007B3030">
        <w:rPr>
          <w:i/>
          <w:iCs/>
        </w:rPr>
        <w:t xml:space="preserve">? Essai de </w:t>
      </w:r>
      <w:proofErr w:type="spellStart"/>
      <w:r w:rsidR="007B3030" w:rsidRPr="007B3030">
        <w:rPr>
          <w:i/>
          <w:iCs/>
        </w:rPr>
        <w:t>métaéthique</w:t>
      </w:r>
      <w:proofErr w:type="spellEnd"/>
      <w:r w:rsidR="007B3030">
        <w:t xml:space="preserve">, Paris, Ithaque, 2019, 208 p., 16 € ; O. </w:t>
      </w:r>
      <w:proofErr w:type="spellStart"/>
      <w:r w:rsidR="007B3030">
        <w:t>Desmons</w:t>
      </w:r>
      <w:proofErr w:type="spellEnd"/>
      <w:r w:rsidR="007B3030">
        <w:t>, S. Lemaire et P. Turmel (</w:t>
      </w:r>
      <w:proofErr w:type="spellStart"/>
      <w:r w:rsidR="007B3030">
        <w:t>dir</w:t>
      </w:r>
      <w:proofErr w:type="spellEnd"/>
      <w:r w:rsidR="007B3030">
        <w:t xml:space="preserve">.), </w:t>
      </w:r>
      <w:r w:rsidR="007B3030" w:rsidRPr="007B3030">
        <w:rPr>
          <w:i/>
          <w:iCs/>
        </w:rPr>
        <w:t xml:space="preserve">Manuel de </w:t>
      </w:r>
      <w:proofErr w:type="spellStart"/>
      <w:r w:rsidR="007B3030" w:rsidRPr="007B3030">
        <w:rPr>
          <w:i/>
          <w:iCs/>
        </w:rPr>
        <w:t>métaéthique</w:t>
      </w:r>
      <w:proofErr w:type="spellEnd"/>
      <w:r w:rsidR="007B3030">
        <w:t xml:space="preserve">, Paris, Hermann, 2019, </w:t>
      </w:r>
      <w:r w:rsidR="007B3030" w:rsidRPr="00B76077">
        <w:t>460</w:t>
      </w:r>
      <w:r w:rsidR="007B3030">
        <w:t> </w:t>
      </w:r>
      <w:r w:rsidR="007B3030" w:rsidRPr="00B76077">
        <w:t>p</w:t>
      </w:r>
      <w:r w:rsidR="007B3030">
        <w:t>., 28 €.</w:t>
      </w:r>
    </w:p>
    <w:p w14:paraId="1E079E0F" w14:textId="77777777" w:rsidR="007B3030" w:rsidRDefault="007B3030" w:rsidP="007B3030">
      <w:pPr>
        <w:pStyle w:val="Corps"/>
      </w:pPr>
      <w:r w:rsidRPr="00AC46AF">
        <w:t xml:space="preserve">Dernièrement, la </w:t>
      </w:r>
      <w:proofErr w:type="spellStart"/>
      <w:r w:rsidRPr="00AC46AF">
        <w:t>métaéthique</w:t>
      </w:r>
      <w:proofErr w:type="spellEnd"/>
      <w:r w:rsidRPr="00AC46AF">
        <w:t xml:space="preserve"> francophone a le vent en poupe. En témoigne la parution récente de deux ouvrages importants</w:t>
      </w:r>
      <w:r>
        <w:t> </w:t>
      </w:r>
      <w:r w:rsidRPr="00AC46AF">
        <w:t xml:space="preserve">: </w:t>
      </w:r>
      <w:r w:rsidRPr="00AC46AF">
        <w:rPr>
          <w:i/>
          <w:iCs/>
        </w:rPr>
        <w:t xml:space="preserve">Qui peut sauver la morale </w:t>
      </w:r>
      <w:r w:rsidRPr="00AC46AF">
        <w:t xml:space="preserve">– </w:t>
      </w:r>
      <w:r w:rsidRPr="00AC46AF">
        <w:rPr>
          <w:i/>
          <w:iCs/>
        </w:rPr>
        <w:t xml:space="preserve">essai de </w:t>
      </w:r>
      <w:proofErr w:type="spellStart"/>
      <w:r w:rsidRPr="00AC46AF">
        <w:rPr>
          <w:i/>
          <w:iCs/>
        </w:rPr>
        <w:t>Métaéthique</w:t>
      </w:r>
      <w:proofErr w:type="spellEnd"/>
      <w:r w:rsidRPr="00AC46AF">
        <w:rPr>
          <w:i/>
          <w:iCs/>
        </w:rPr>
        <w:t xml:space="preserve"> </w:t>
      </w:r>
      <w:r w:rsidRPr="00AC46AF">
        <w:t xml:space="preserve">de </w:t>
      </w:r>
      <w:r>
        <w:t xml:space="preserve">François </w:t>
      </w:r>
      <w:r w:rsidRPr="00AC46AF">
        <w:t xml:space="preserve">Jaquet et </w:t>
      </w:r>
      <w:r>
        <w:t xml:space="preserve">Hichem </w:t>
      </w:r>
      <w:proofErr w:type="spellStart"/>
      <w:r w:rsidRPr="00AC46AF">
        <w:t>Naar</w:t>
      </w:r>
      <w:proofErr w:type="spellEnd"/>
      <w:r w:rsidRPr="00AC46AF">
        <w:t xml:space="preserve"> et le </w:t>
      </w:r>
      <w:r w:rsidRPr="00AC46AF">
        <w:rPr>
          <w:i/>
          <w:iCs/>
        </w:rPr>
        <w:t xml:space="preserve">Manuel de </w:t>
      </w:r>
      <w:proofErr w:type="spellStart"/>
      <w:r w:rsidRPr="00AC46AF">
        <w:rPr>
          <w:i/>
          <w:iCs/>
        </w:rPr>
        <w:t>Métaéthique</w:t>
      </w:r>
      <w:proofErr w:type="spellEnd"/>
      <w:r w:rsidRPr="00AC46AF">
        <w:t xml:space="preserve">, dirigé par </w:t>
      </w:r>
      <w:r>
        <w:t xml:space="preserve">Ophélie </w:t>
      </w:r>
      <w:proofErr w:type="spellStart"/>
      <w:r w:rsidRPr="00AC46AF">
        <w:t>Desmons</w:t>
      </w:r>
      <w:proofErr w:type="spellEnd"/>
      <w:r w:rsidRPr="00AC46AF">
        <w:t xml:space="preserve">, </w:t>
      </w:r>
      <w:r>
        <w:t xml:space="preserve">Stéphane </w:t>
      </w:r>
      <w:r w:rsidRPr="00AC46AF">
        <w:t xml:space="preserve">Lemaire et </w:t>
      </w:r>
      <w:r>
        <w:t xml:space="preserve">Patrick </w:t>
      </w:r>
      <w:r w:rsidRPr="00AC46AF">
        <w:t xml:space="preserve">Turmel. </w:t>
      </w:r>
      <w:r>
        <w:t>Même si le</w:t>
      </w:r>
      <w:r w:rsidRPr="00AC46AF">
        <w:t xml:space="preserve"> premier </w:t>
      </w:r>
      <w:r>
        <w:t>se</w:t>
      </w:r>
      <w:r w:rsidRPr="00AC46AF">
        <w:t xml:space="preserve"> présent</w:t>
      </w:r>
      <w:r>
        <w:t>e</w:t>
      </w:r>
      <w:r w:rsidRPr="00AC46AF">
        <w:t xml:space="preserve"> comme un essai</w:t>
      </w:r>
      <w:r>
        <w:t xml:space="preserve"> et </w:t>
      </w:r>
      <w:r w:rsidRPr="00AC46AF">
        <w:t>le second comme un manuel,</w:t>
      </w:r>
      <w:r>
        <w:t xml:space="preserve"> chacun se donne d’abord et avant tout pour </w:t>
      </w:r>
      <w:r w:rsidRPr="00AC46AF">
        <w:t xml:space="preserve">mission de cartographier </w:t>
      </w:r>
      <w:r>
        <w:t>la</w:t>
      </w:r>
      <w:r w:rsidRPr="00AC46AF">
        <w:t xml:space="preserve"> </w:t>
      </w:r>
      <w:proofErr w:type="spellStart"/>
      <w:r w:rsidRPr="00AC46AF">
        <w:t>métaéthique</w:t>
      </w:r>
      <w:proofErr w:type="spellEnd"/>
      <w:r>
        <w:t xml:space="preserve"> contemporaine.</w:t>
      </w:r>
    </w:p>
    <w:p w14:paraId="25475721" w14:textId="77777777" w:rsidR="007B3030" w:rsidRPr="00F77DEF" w:rsidRDefault="007B3030" w:rsidP="00F77DEF">
      <w:pPr>
        <w:pStyle w:val="Corps"/>
      </w:pPr>
      <w:r>
        <w:t xml:space="preserve">La </w:t>
      </w:r>
      <w:proofErr w:type="spellStart"/>
      <w:r>
        <w:t>métaéthique</w:t>
      </w:r>
      <w:proofErr w:type="spellEnd"/>
      <w:r>
        <w:t xml:space="preserve"> est, selon la belle expression de Jaquet et </w:t>
      </w:r>
      <w:proofErr w:type="spellStart"/>
      <w:r>
        <w:t>Naar</w:t>
      </w:r>
      <w:proofErr w:type="spellEnd"/>
      <w:r>
        <w:t xml:space="preserve">, </w:t>
      </w:r>
      <w:r w:rsidRPr="00AC46AF">
        <w:t>«</w:t>
      </w:r>
      <w:r>
        <w:rPr>
          <w:rFonts w:ascii="Times New Roman" w:hAnsi="Times New Roman" w:cs="Times New Roman"/>
        </w:rPr>
        <w:t> </w:t>
      </w:r>
      <w:r w:rsidRPr="00AC46AF">
        <w:t>l’étude des questions philosophiques qui portent sur la morale sans être elles-mêmes des questions morales</w:t>
      </w:r>
      <w:r>
        <w:rPr>
          <w:rFonts w:ascii="Times New Roman" w:hAnsi="Times New Roman" w:cs="Times New Roman"/>
        </w:rPr>
        <w:t> </w:t>
      </w:r>
      <w:r w:rsidRPr="00AC46AF">
        <w:t>» (p.</w:t>
      </w:r>
      <w:r>
        <w:t> </w:t>
      </w:r>
      <w:r w:rsidRPr="00AC46AF">
        <w:t>12).</w:t>
      </w:r>
      <w:r>
        <w:t xml:space="preserve"> La toute première question </w:t>
      </w:r>
      <w:proofErr w:type="spellStart"/>
      <w:r>
        <w:t>métaéthique</w:t>
      </w:r>
      <w:proofErr w:type="spellEnd"/>
      <w:r>
        <w:t xml:space="preserve"> concerne la nature des </w:t>
      </w:r>
      <w:r>
        <w:rPr>
          <w:i/>
          <w:iCs/>
        </w:rPr>
        <w:t>propriétés morales</w:t>
      </w:r>
      <w:r>
        <w:t xml:space="preserve">. Cela inclut toutes sortes de propriétés : les politiques </w:t>
      </w:r>
      <w:proofErr w:type="spellStart"/>
      <w:r>
        <w:t>redistributives</w:t>
      </w:r>
      <w:proofErr w:type="spellEnd"/>
      <w:r>
        <w:t xml:space="preserve"> sont </w:t>
      </w:r>
      <w:r>
        <w:rPr>
          <w:i/>
          <w:iCs/>
        </w:rPr>
        <w:t>équitables</w:t>
      </w:r>
      <w:r>
        <w:t xml:space="preserve">, le divorce est </w:t>
      </w:r>
      <w:r>
        <w:rPr>
          <w:i/>
          <w:iCs/>
        </w:rPr>
        <w:t>permissible</w:t>
      </w:r>
      <w:r>
        <w:t xml:space="preserve">, la couardise est </w:t>
      </w:r>
      <w:r>
        <w:rPr>
          <w:i/>
          <w:iCs/>
        </w:rPr>
        <w:t>regrettable</w:t>
      </w:r>
      <w:r>
        <w:t xml:space="preserve">, l’ouverture d’esprit est </w:t>
      </w:r>
      <w:r>
        <w:rPr>
          <w:i/>
          <w:iCs/>
        </w:rPr>
        <w:t>admirable</w:t>
      </w:r>
      <w:r>
        <w:t>. Qu’est-ce qui unit ces propriétés, à supposer qu’elles existent</w:t>
      </w:r>
      <w:r>
        <w:rPr>
          <w:rFonts w:ascii="Times New Roman" w:hAnsi="Times New Roman" w:cs="Times New Roman"/>
        </w:rPr>
        <w:t> </w:t>
      </w:r>
      <w:r>
        <w:t>? Sont-elles naturelles et objectives, le sujet possible de certaines sciences</w:t>
      </w:r>
      <w:r>
        <w:rPr>
          <w:rFonts w:ascii="Times New Roman" w:hAnsi="Times New Roman" w:cs="Times New Roman"/>
        </w:rPr>
        <w:t> </w:t>
      </w:r>
      <w:r>
        <w:t xml:space="preserve">? </w:t>
      </w:r>
      <w:r w:rsidRPr="00851E19">
        <w:t>Le</w:t>
      </w:r>
      <w:r>
        <w:rPr>
          <w:i/>
          <w:iCs/>
        </w:rPr>
        <w:t xml:space="preserve"> Manuel </w:t>
      </w:r>
      <w:r>
        <w:t>et l’</w:t>
      </w:r>
      <w:r w:rsidRPr="00851E19">
        <w:rPr>
          <w:i/>
          <w:iCs/>
        </w:rPr>
        <w:t>Essai</w:t>
      </w:r>
      <w:r>
        <w:t xml:space="preserve"> ne manquent pas </w:t>
      </w:r>
      <w:r w:rsidRPr="00AC46AF">
        <w:t xml:space="preserve">de présenter plusieurs </w:t>
      </w:r>
      <w:r>
        <w:t xml:space="preserve">théories concurrentes sur la nature de ces propriétés (questions métaphysiques), mais également de la croyance morale (questions psychologiques), de notre accès à ces propriétés (questions épistémologiques), ainsi que de notre discours moral, de ses raisonnements et des désaccords qui s’y expriment (questions logico-linguistiques). </w:t>
      </w:r>
    </w:p>
    <w:p w14:paraId="3CE650E0" w14:textId="77777777" w:rsidR="007B3030" w:rsidRPr="00AC46AF" w:rsidRDefault="007B3030" w:rsidP="007B3030">
      <w:pPr>
        <w:pStyle w:val="VDIIntertitre"/>
      </w:pPr>
      <w:r>
        <w:lastRenderedPageBreak/>
        <w:t xml:space="preserve">Cartographier la </w:t>
      </w:r>
      <w:proofErr w:type="spellStart"/>
      <w:r w:rsidRPr="00AC46AF">
        <w:t>métaéthique</w:t>
      </w:r>
      <w:proofErr w:type="spellEnd"/>
    </w:p>
    <w:p w14:paraId="6AB96A94" w14:textId="77777777" w:rsidR="007B3030" w:rsidRPr="00AC46AF" w:rsidRDefault="007B3030" w:rsidP="007B3030">
      <w:pPr>
        <w:pStyle w:val="Corps"/>
      </w:pPr>
      <w:r w:rsidRPr="00AC46AF">
        <w:t xml:space="preserve">Thomas Nagel a un jour écrit </w:t>
      </w:r>
      <w:proofErr w:type="gramStart"/>
      <w:r w:rsidRPr="00AC46AF">
        <w:t>qu’ «</w:t>
      </w:r>
      <w:proofErr w:type="gramEnd"/>
      <w:r>
        <w:rPr>
          <w:rFonts w:ascii="Times New Roman" w:hAnsi="Times New Roman" w:cs="Times New Roman"/>
        </w:rPr>
        <w:t> </w:t>
      </w:r>
      <w:r w:rsidRPr="00AC46AF">
        <w:t>avant d’apprendre un tas de théories philosophiques, il vaut mieux avoir été intrigué par les questions auxquelles ces théories essayent de trouver une réponse.</w:t>
      </w:r>
      <w:r>
        <w:rPr>
          <w:rFonts w:ascii="Times New Roman" w:hAnsi="Times New Roman" w:cs="Times New Roman"/>
        </w:rPr>
        <w:t> </w:t>
      </w:r>
      <w:r w:rsidRPr="00AC46AF">
        <w:t>»</w:t>
      </w:r>
      <w:r w:rsidRPr="009061EB">
        <w:rPr>
          <w:rStyle w:val="Appelnotedebasdep"/>
        </w:rPr>
        <w:footnoteReference w:id="1"/>
      </w:r>
      <w:r w:rsidRPr="00AC46AF">
        <w:t xml:space="preserve"> La </w:t>
      </w:r>
      <w:proofErr w:type="spellStart"/>
      <w:r w:rsidRPr="00AC46AF">
        <w:t>métaéthique</w:t>
      </w:r>
      <w:proofErr w:type="spellEnd"/>
      <w:r w:rsidRPr="00AC46AF">
        <w:t xml:space="preserve"> contemporaine se prête particulièrement mal à ce conseil</w:t>
      </w:r>
      <w:r>
        <w:t> : son corpus est en règle générale aride, truffé de néologismes et divisé en familles théoriques plutôt qu’en problèmes.</w:t>
      </w:r>
      <w:r w:rsidRPr="00AC46AF">
        <w:t xml:space="preserve"> L’</w:t>
      </w:r>
      <w:r w:rsidRPr="00AC46AF">
        <w:rPr>
          <w:i/>
          <w:iCs/>
        </w:rPr>
        <w:t xml:space="preserve">Essai </w:t>
      </w:r>
      <w:r w:rsidRPr="00AC46AF">
        <w:t xml:space="preserve">et le </w:t>
      </w:r>
      <w:r w:rsidRPr="00AC46AF">
        <w:rPr>
          <w:i/>
          <w:iCs/>
        </w:rPr>
        <w:t xml:space="preserve">Manuel </w:t>
      </w:r>
      <w:r w:rsidRPr="00AC46AF">
        <w:t>ne font pas tout à fait exception à cette règle</w:t>
      </w:r>
      <w:r>
        <w:t xml:space="preserve">, mais chacun propose un chapitre introductif qui, à force de </w:t>
      </w:r>
      <w:r w:rsidRPr="00AC46AF">
        <w:t>questions ordinaires et</w:t>
      </w:r>
      <w:r>
        <w:t xml:space="preserve">, dans le cas du </w:t>
      </w:r>
      <w:r w:rsidRPr="009061EB">
        <w:rPr>
          <w:i/>
          <w:iCs/>
        </w:rPr>
        <w:t>Manuel</w:t>
      </w:r>
      <w:r>
        <w:t>,</w:t>
      </w:r>
      <w:r w:rsidRPr="00AC46AF">
        <w:t xml:space="preserve"> de considérations historiques</w:t>
      </w:r>
      <w:r>
        <w:t>,</w:t>
      </w:r>
      <w:r w:rsidRPr="00AC46AF">
        <w:t xml:space="preserve"> aide le lecteur à plonger dans un univers </w:t>
      </w:r>
      <w:r>
        <w:t>difficile</w:t>
      </w:r>
      <w:r w:rsidRPr="00AC46AF">
        <w:t>, mais jamais ésotérique.</w:t>
      </w:r>
      <w:r>
        <w:t xml:space="preserve"> Les chapitres suivants sont aussi dans l’ensemble accessibles, </w:t>
      </w:r>
      <w:r w:rsidRPr="00AC46AF">
        <w:t>entre autres parce qu’ils regorgent d’exemples.</w:t>
      </w:r>
      <w:r>
        <w:rPr>
          <w:rStyle w:val="Marquedecommentaire"/>
          <w:rFonts w:ascii="Book Antiqua" w:hAnsi="Book Antiqua"/>
        </w:rPr>
        <w:t xml:space="preserve"> </w:t>
      </w:r>
    </w:p>
    <w:p w14:paraId="663A9B5C" w14:textId="77777777" w:rsidR="007B3030" w:rsidRPr="00BF3463" w:rsidRDefault="007B3030" w:rsidP="007B3030">
      <w:pPr>
        <w:pStyle w:val="Corps"/>
      </w:pPr>
      <w:r>
        <w:t>Les deux ouvrages sont structurés différemment.</w:t>
      </w:r>
      <w:r w:rsidRPr="00AC46AF">
        <w:t xml:space="preserve"> </w:t>
      </w:r>
      <w:r>
        <w:t>D’un côté</w:t>
      </w:r>
      <w:r w:rsidRPr="00BF3463">
        <w:t>, l’</w:t>
      </w:r>
      <w:r w:rsidRPr="00BF3463">
        <w:rPr>
          <w:i/>
          <w:iCs/>
        </w:rPr>
        <w:t xml:space="preserve">Essai </w:t>
      </w:r>
      <w:r w:rsidRPr="00BF3463">
        <w:t>cherche à répondre à la question de son titre, «</w:t>
      </w:r>
      <w:r w:rsidRPr="00BF3463">
        <w:rPr>
          <w:rFonts w:ascii="Times New Roman" w:hAnsi="Times New Roman" w:cs="Times New Roman"/>
        </w:rPr>
        <w:t> </w:t>
      </w:r>
      <w:r w:rsidRPr="00BF3463">
        <w:t>Qui peut sauver la morale</w:t>
      </w:r>
      <w:r>
        <w:rPr>
          <w:rFonts w:ascii="Times New Roman" w:hAnsi="Times New Roman" w:cs="Times New Roman"/>
        </w:rPr>
        <w:t> </w:t>
      </w:r>
      <w:r>
        <w:t>?</w:t>
      </w:r>
      <w:r w:rsidRPr="00BF3463">
        <w:rPr>
          <w:rFonts w:ascii="Times New Roman" w:hAnsi="Times New Roman" w:cs="Times New Roman"/>
        </w:rPr>
        <w:t> </w:t>
      </w:r>
      <w:r w:rsidRPr="00BF3463">
        <w:t>» au fil de chapitres qui éliminent les familles théoriques les unes après les autres, jusqu’à ce qu’on sente poindre le gouffre… Surprise</w:t>
      </w:r>
      <w:r>
        <w:rPr>
          <w:rFonts w:ascii="Times New Roman" w:hAnsi="Times New Roman" w:cs="Times New Roman"/>
        </w:rPr>
        <w:t> </w:t>
      </w:r>
      <w:r>
        <w:t>!</w:t>
      </w:r>
      <w:r w:rsidRPr="00BF3463">
        <w:t xml:space="preserve"> On nous propose finalement deux théories</w:t>
      </w:r>
      <w:r>
        <w:t xml:space="preserve"> privilégiées</w:t>
      </w:r>
      <w:r w:rsidRPr="00BF3463">
        <w:t> : le réalisme non naturaliste, qui postule l’existence de propriétés morales objectives, non relatives (qui ne dépendent pas des valeurs des individus ou des sociétés) et non naturelles</w:t>
      </w:r>
      <w:r>
        <w:t xml:space="preserve"> (qui ne sont l’objet d’aucune science)</w:t>
      </w:r>
      <w:r>
        <w:rPr>
          <w:rFonts w:ascii="Times New Roman" w:hAnsi="Times New Roman" w:cs="Times New Roman"/>
        </w:rPr>
        <w:t> </w:t>
      </w:r>
      <w:r>
        <w:t>;</w:t>
      </w:r>
      <w:r w:rsidRPr="00BF3463">
        <w:t xml:space="preserve"> et la théorie de l’erreur, une forme de nihilisme que nous aborderons plus loin.</w:t>
      </w:r>
    </w:p>
    <w:p w14:paraId="71671254" w14:textId="77777777" w:rsidR="007B3030" w:rsidRDefault="007B3030" w:rsidP="007B3030">
      <w:pPr>
        <w:pStyle w:val="Corps"/>
      </w:pPr>
      <w:r>
        <w:t>De son côté</w:t>
      </w:r>
      <w:r w:rsidRPr="00AC46AF">
        <w:t xml:space="preserve">, le </w:t>
      </w:r>
      <w:r w:rsidRPr="00AC46AF">
        <w:rPr>
          <w:i/>
          <w:iCs/>
        </w:rPr>
        <w:t>Manuel</w:t>
      </w:r>
      <w:r w:rsidRPr="00AC46AF">
        <w:t xml:space="preserve"> convoque treize spécialistes qui, </w:t>
      </w:r>
      <w:r>
        <w:t>le plus souvent</w:t>
      </w:r>
      <w:r w:rsidRPr="00AC46AF">
        <w:t xml:space="preserve">, </w:t>
      </w:r>
      <w:r>
        <w:t>s’attardent à présenter une théorie avec impartialité.</w:t>
      </w:r>
      <w:r w:rsidRPr="00AC46AF">
        <w:t xml:space="preserve"> </w:t>
      </w:r>
      <w:r>
        <w:t>Les conclusions sont donc très conciliantes :</w:t>
      </w:r>
      <w:r w:rsidRPr="00AC46AF">
        <w:t xml:space="preserve"> </w:t>
      </w:r>
      <w:r>
        <w:t xml:space="preserve">la théorie est </w:t>
      </w:r>
      <w:r w:rsidRPr="00AC46AF">
        <w:t>plus sérieuse qu’il n’y paraît (</w:t>
      </w:r>
      <w:r>
        <w:t xml:space="preserve">Turmel, </w:t>
      </w:r>
      <w:r w:rsidRPr="00AC46AF">
        <w:t xml:space="preserve">Stojanovic), elle peut prendre des formes inattendues </w:t>
      </w:r>
      <w:r>
        <w:t xml:space="preserve">ou </w:t>
      </w:r>
      <w:r w:rsidRPr="00AC46AF">
        <w:t>variées (Todd,</w:t>
      </w:r>
      <w:r>
        <w:t xml:space="preserve"> </w:t>
      </w:r>
      <w:proofErr w:type="spellStart"/>
      <w:r>
        <w:t>Desmons</w:t>
      </w:r>
      <w:proofErr w:type="spellEnd"/>
      <w:r>
        <w:t>, Rossi</w:t>
      </w:r>
      <w:r w:rsidRPr="00AC46AF">
        <w:t>), elle n’est pas confinée à une tradition (Lemaire,</w:t>
      </w:r>
      <w:r>
        <w:t xml:space="preserve"> </w:t>
      </w:r>
      <w:proofErr w:type="spellStart"/>
      <w:r>
        <w:t>Tappolet</w:t>
      </w:r>
      <w:proofErr w:type="spellEnd"/>
      <w:r w:rsidRPr="00AC46AF">
        <w:t>)</w:t>
      </w:r>
      <w:r>
        <w:t xml:space="preserve">, ou sa force dépend de recherches empiriques à venir </w:t>
      </w:r>
      <w:r w:rsidRPr="00AC46AF">
        <w:t>(</w:t>
      </w:r>
      <w:r>
        <w:t xml:space="preserve">Beaudoin, </w:t>
      </w:r>
      <w:r w:rsidRPr="00AC46AF">
        <w:t xml:space="preserve">Jaquet et </w:t>
      </w:r>
      <w:proofErr w:type="spellStart"/>
      <w:r w:rsidRPr="00AC46AF">
        <w:t>Cova</w:t>
      </w:r>
      <w:proofErr w:type="spellEnd"/>
      <w:r w:rsidRPr="00AC46AF">
        <w:t>).</w:t>
      </w:r>
      <w:r>
        <w:t xml:space="preserve"> </w:t>
      </w:r>
    </w:p>
    <w:p w14:paraId="1A370EAA" w14:textId="77777777" w:rsidR="007B3030" w:rsidRPr="00310337" w:rsidRDefault="007B3030" w:rsidP="007B3030">
      <w:pPr>
        <w:pStyle w:val="Corps"/>
      </w:pPr>
      <w:r>
        <w:t xml:space="preserve">Prenons trois exemples plus précis. </w:t>
      </w:r>
      <w:proofErr w:type="spellStart"/>
      <w:r>
        <w:t>Isidora</w:t>
      </w:r>
      <w:proofErr w:type="spellEnd"/>
      <w:r>
        <w:t xml:space="preserve"> Stojanovic avance que le </w:t>
      </w:r>
      <w:r w:rsidRPr="007E37CD">
        <w:rPr>
          <w:i/>
          <w:iCs/>
        </w:rPr>
        <w:t>relativisme</w:t>
      </w:r>
      <w:r>
        <w:t>, la théorie selon laquelle les vérités morales sont relatives à une société ou à un contexte, ne signifie pas qu’il n’y a pas d’objectivité morale. Un relativiste pourrait, d’une part, hiérarchiser objectivement les différentes morales</w:t>
      </w:r>
      <w:r>
        <w:rPr>
          <w:rFonts w:ascii="Times New Roman" w:hAnsi="Times New Roman" w:cs="Times New Roman"/>
        </w:rPr>
        <w:t> </w:t>
      </w:r>
      <w:r>
        <w:t>; et d’autre part, accepter que certaines vérités (par exemple, «</w:t>
      </w:r>
      <w:r>
        <w:rPr>
          <w:rFonts w:ascii="Times New Roman" w:hAnsi="Times New Roman" w:cs="Times New Roman"/>
        </w:rPr>
        <w:t> </w:t>
      </w:r>
      <w:r>
        <w:t>les hommes et les femmes sont égaux</w:t>
      </w:r>
      <w:r>
        <w:rPr>
          <w:rFonts w:ascii="Times New Roman" w:hAnsi="Times New Roman" w:cs="Times New Roman"/>
        </w:rPr>
        <w:t> </w:t>
      </w:r>
      <w:r>
        <w:t xml:space="preserve">») composent un élément essentiel de toute morale acceptable. Deuxième exemple : Ophélie </w:t>
      </w:r>
      <w:proofErr w:type="spellStart"/>
      <w:r>
        <w:t>Desmons</w:t>
      </w:r>
      <w:proofErr w:type="spellEnd"/>
      <w:r>
        <w:t xml:space="preserve"> montre que le constructivisme, la thèse selon laquelle les vérités morales ne sont ni inventées ni découvertes, mais </w:t>
      </w:r>
      <w:r>
        <w:rPr>
          <w:i/>
          <w:iCs/>
        </w:rPr>
        <w:t>construites</w:t>
      </w:r>
      <w:r>
        <w:t xml:space="preserve">, peut lui aussi prendre des formes très différentes. On trouve ainsi un constructivisme </w:t>
      </w:r>
      <w:r w:rsidRPr="00F205A7">
        <w:rPr>
          <w:i/>
          <w:iCs/>
        </w:rPr>
        <w:t>universaliste</w:t>
      </w:r>
      <w:r>
        <w:t xml:space="preserve"> (ou « kantien ») : les vérités morales ne peuvent être construites que d’une manière, conformément à la raison. Mais le constructivisme peut aussi être </w:t>
      </w:r>
      <w:r>
        <w:rPr>
          <w:i/>
          <w:iCs/>
        </w:rPr>
        <w:t xml:space="preserve">idiosyncratique </w:t>
      </w:r>
      <w:r>
        <w:t xml:space="preserve">(ou « humien ») : les vérités morales varient puisqu’elles dépendent de ce qui est cohérent avec les valeurs de chacun. Troisième exemple : Christine </w:t>
      </w:r>
      <w:proofErr w:type="spellStart"/>
      <w:r>
        <w:t>Tappolet</w:t>
      </w:r>
      <w:proofErr w:type="spellEnd"/>
      <w:r>
        <w:t xml:space="preserve"> fait valoir qu’on peut souscrire à l’objectivité de la morale (le </w:t>
      </w:r>
      <w:r>
        <w:rPr>
          <w:i/>
          <w:iCs/>
        </w:rPr>
        <w:t>réalisme</w:t>
      </w:r>
      <w:r>
        <w:t xml:space="preserve">) tout en accordant une place de choix aux émotions comme </w:t>
      </w:r>
      <w:r>
        <w:lastRenderedPageBreak/>
        <w:t>guide pour les découvrir. Cela pourra surprendre ceux qui présument, à tort, que l’objectivité est la chasse gardée de la raison.</w:t>
      </w:r>
    </w:p>
    <w:p w14:paraId="4D3A43D5" w14:textId="77777777" w:rsidR="007B3030" w:rsidRPr="00F77DEF" w:rsidRDefault="007B3030" w:rsidP="00F77DEF">
      <w:pPr>
        <w:pStyle w:val="Corps"/>
      </w:pPr>
      <w:r>
        <w:t>Devant le nombre impressionnant de questions abordées dans les deux volumes, il faut choisir.</w:t>
      </w:r>
      <w:r w:rsidRPr="00AB7C7B">
        <w:rPr>
          <w:rStyle w:val="Appelnotedebasdep"/>
          <w:rFonts w:ascii="Times New Roman" w:hAnsi="Times New Roman" w:cs="Times New Roman"/>
        </w:rPr>
        <w:footnoteReference w:id="2"/>
      </w:r>
      <w:r>
        <w:t xml:space="preserve"> La conclusion la plus surprenante de l’</w:t>
      </w:r>
      <w:r>
        <w:rPr>
          <w:i/>
          <w:iCs/>
        </w:rPr>
        <w:t>Essai</w:t>
      </w:r>
      <w:r>
        <w:t xml:space="preserve"> pour les </w:t>
      </w:r>
      <w:proofErr w:type="spellStart"/>
      <w:r>
        <w:t>métaéthiciens</w:t>
      </w:r>
      <w:proofErr w:type="spellEnd"/>
      <w:r>
        <w:t xml:space="preserve"> est qu’il est plausible que les propriétés morales n’existent pas vraiment. C’est également une option que le </w:t>
      </w:r>
      <w:r>
        <w:rPr>
          <w:i/>
          <w:iCs/>
        </w:rPr>
        <w:t xml:space="preserve">Manuel </w:t>
      </w:r>
      <w:r>
        <w:t>considère sérieusement. Attardons-nous donc avec plus de minutie à cette «</w:t>
      </w:r>
      <w:r>
        <w:rPr>
          <w:rFonts w:ascii="Times New Roman" w:hAnsi="Times New Roman" w:cs="Times New Roman"/>
        </w:rPr>
        <w:t> </w:t>
      </w:r>
      <w:r>
        <w:t>part d’ombre</w:t>
      </w:r>
      <w:r>
        <w:rPr>
          <w:rFonts w:ascii="Times New Roman" w:hAnsi="Times New Roman" w:cs="Times New Roman"/>
        </w:rPr>
        <w:t> </w:t>
      </w:r>
      <w:r>
        <w:t>», qui peut prend deux formes : le non-cognitivisme et la théorie de l’erreur.</w:t>
      </w:r>
    </w:p>
    <w:p w14:paraId="4F49256F" w14:textId="77777777" w:rsidR="007B3030" w:rsidRPr="00AC46AF" w:rsidRDefault="007B3030" w:rsidP="007B3030">
      <w:pPr>
        <w:pStyle w:val="VDIIntertitre"/>
      </w:pPr>
      <w:r>
        <w:t>Une morale en «</w:t>
      </w:r>
      <w:r>
        <w:rPr>
          <w:rFonts w:ascii="Times New Roman" w:hAnsi="Times New Roman" w:cs="Times New Roman"/>
        </w:rPr>
        <w:t> </w:t>
      </w:r>
      <w:proofErr w:type="spellStart"/>
      <w:r>
        <w:t>bouh</w:t>
      </w:r>
      <w:proofErr w:type="spellEnd"/>
      <w:r>
        <w:rPr>
          <w:rFonts w:ascii="Times New Roman" w:hAnsi="Times New Roman" w:cs="Times New Roman"/>
        </w:rPr>
        <w:t> </w:t>
      </w:r>
      <w:r>
        <w:t>» et en «</w:t>
      </w:r>
      <w:r>
        <w:rPr>
          <w:rFonts w:ascii="Times New Roman" w:hAnsi="Times New Roman" w:cs="Times New Roman"/>
        </w:rPr>
        <w:t> </w:t>
      </w:r>
      <w:r>
        <w:t>hourrah</w:t>
      </w:r>
      <w:r>
        <w:rPr>
          <w:rFonts w:ascii="Times New Roman" w:hAnsi="Times New Roman" w:cs="Times New Roman"/>
        </w:rPr>
        <w:t> </w:t>
      </w:r>
      <w:r>
        <w:t>»</w:t>
      </w:r>
    </w:p>
    <w:p w14:paraId="442DF21C" w14:textId="77777777" w:rsidR="007B3030" w:rsidRPr="00AC46AF" w:rsidRDefault="007B3030" w:rsidP="007B3030">
      <w:pPr>
        <w:pStyle w:val="Corps"/>
      </w:pPr>
      <w:r w:rsidRPr="00AC46AF">
        <w:t xml:space="preserve">Le </w:t>
      </w:r>
      <w:r w:rsidRPr="00E451A6">
        <w:rPr>
          <w:i/>
          <w:iCs/>
        </w:rPr>
        <w:t>cognitivisme</w:t>
      </w:r>
      <w:r w:rsidRPr="00AC46AF">
        <w:t xml:space="preserve"> affirme que nos jugements moraux sont descriptifs, qu’ils décrivent des faits moraux. Par exemple, si Pierre juge qu’il ne doit pas mentir dans son curriculum vitae, </w:t>
      </w:r>
      <w:r>
        <w:t>c’est qu’il croit que mentir serait, de fait, inadmissible : il attribue une propriété morale, l’inadmissibilité, au mensonge. Le</w:t>
      </w:r>
      <w:r w:rsidRPr="00AC46AF">
        <w:t xml:space="preserve"> </w:t>
      </w:r>
      <w:r w:rsidRPr="00E451A6">
        <w:rPr>
          <w:i/>
          <w:iCs/>
        </w:rPr>
        <w:t>non-cognitivisme</w:t>
      </w:r>
      <w:r w:rsidRPr="00AC46AF">
        <w:t xml:space="preserve"> affirme l’inverse : le jugement moral n’est pas descriptif, mais plutôt prescriptif ou expressif. Si Pierre juge qu’il ne doit pas mentir dans son curriculum, cela veut</w:t>
      </w:r>
      <w:r>
        <w:t xml:space="preserve"> simplement</w:t>
      </w:r>
      <w:r w:rsidRPr="00AC46AF">
        <w:t xml:space="preserve"> dire qu’il a une attitude négative</w:t>
      </w:r>
      <w:r>
        <w:t xml:space="preserve"> vis-à-vis de </w:t>
      </w:r>
      <w:r w:rsidRPr="00AC46AF">
        <w:t xml:space="preserve">ce type de mensonge ou qu’il prescrit </w:t>
      </w:r>
      <w:r>
        <w:t xml:space="preserve">à tous </w:t>
      </w:r>
      <w:r w:rsidRPr="00AC46AF">
        <w:t xml:space="preserve">de ne pas mentir dans ce contexte. </w:t>
      </w:r>
      <w:r>
        <w:t xml:space="preserve">Il n’attribue pas de propriété morale. </w:t>
      </w:r>
      <w:r w:rsidRPr="00AC46AF">
        <w:t>Un énoncé comme «</w:t>
      </w:r>
      <w:r>
        <w:rPr>
          <w:rFonts w:ascii="Times New Roman" w:hAnsi="Times New Roman" w:cs="Times New Roman"/>
        </w:rPr>
        <w:t> </w:t>
      </w:r>
      <w:r w:rsidRPr="00AC46AF">
        <w:t>mentir est mal</w:t>
      </w:r>
      <w:r>
        <w:rPr>
          <w:rFonts w:ascii="Times New Roman" w:hAnsi="Times New Roman" w:cs="Times New Roman"/>
        </w:rPr>
        <w:t> </w:t>
      </w:r>
      <w:r w:rsidRPr="00AC46AF">
        <w:t>» exprimerait quelque chose comme «</w:t>
      </w:r>
      <w:r>
        <w:rPr>
          <w:rFonts w:ascii="Times New Roman" w:hAnsi="Times New Roman" w:cs="Times New Roman"/>
        </w:rPr>
        <w:t> </w:t>
      </w:r>
      <w:proofErr w:type="spellStart"/>
      <w:r w:rsidRPr="00AC46AF">
        <w:t>Bou</w:t>
      </w:r>
      <w:r>
        <w:t>h</w:t>
      </w:r>
      <w:proofErr w:type="spellEnd"/>
      <w:r w:rsidRPr="00AC46AF">
        <w:t>, le mensonge</w:t>
      </w:r>
      <w:r>
        <w:rPr>
          <w:rFonts w:ascii="Times New Roman" w:hAnsi="Times New Roman" w:cs="Times New Roman"/>
        </w:rPr>
        <w:t> </w:t>
      </w:r>
      <w:r>
        <w:t>!</w:t>
      </w:r>
      <w:r>
        <w:rPr>
          <w:rFonts w:ascii="Times New Roman" w:hAnsi="Times New Roman" w:cs="Times New Roman"/>
        </w:rPr>
        <w:t> </w:t>
      </w:r>
      <w:r w:rsidRPr="00AC46AF">
        <w:t>» ou «</w:t>
      </w:r>
      <w:r>
        <w:rPr>
          <w:rFonts w:ascii="Times New Roman" w:hAnsi="Times New Roman" w:cs="Times New Roman"/>
        </w:rPr>
        <w:t> </w:t>
      </w:r>
      <w:r w:rsidRPr="00AC46AF">
        <w:t>Ne mentez pas</w:t>
      </w:r>
      <w:r>
        <w:rPr>
          <w:rFonts w:ascii="Times New Roman" w:hAnsi="Times New Roman" w:cs="Times New Roman"/>
        </w:rPr>
        <w:t> </w:t>
      </w:r>
      <w:r>
        <w:t>!</w:t>
      </w:r>
      <w:r>
        <w:rPr>
          <w:rFonts w:ascii="Times New Roman" w:hAnsi="Times New Roman" w:cs="Times New Roman"/>
        </w:rPr>
        <w:t> </w:t>
      </w:r>
      <w:r w:rsidRPr="00AC46AF">
        <w:t>»</w:t>
      </w:r>
      <w:r>
        <w:t xml:space="preserve">. </w:t>
      </w:r>
    </w:p>
    <w:p w14:paraId="31ADED65" w14:textId="77777777" w:rsidR="007B3030" w:rsidRPr="00AC46AF" w:rsidRDefault="007B3030" w:rsidP="007B3030">
      <w:pPr>
        <w:pStyle w:val="Corps"/>
      </w:pPr>
      <w:r w:rsidRPr="00AC46AF">
        <w:t xml:space="preserve">Pourquoi être </w:t>
      </w:r>
      <w:proofErr w:type="gramStart"/>
      <w:r w:rsidRPr="00AC46AF">
        <w:t>non</w:t>
      </w:r>
      <w:r>
        <w:t xml:space="preserve"> </w:t>
      </w:r>
      <w:r w:rsidRPr="00AC46AF">
        <w:t>cognitiviste</w:t>
      </w:r>
      <w:proofErr w:type="gramEnd"/>
      <w:r>
        <w:rPr>
          <w:rFonts w:ascii="Times New Roman" w:hAnsi="Times New Roman" w:cs="Times New Roman"/>
        </w:rPr>
        <w:t> </w:t>
      </w:r>
      <w:r>
        <w:t>?</w:t>
      </w:r>
      <w:r w:rsidRPr="00AC46AF">
        <w:t xml:space="preserve"> </w:t>
      </w:r>
      <w:r>
        <w:t xml:space="preserve">Dans le deuxième chapitre du </w:t>
      </w:r>
      <w:r w:rsidRPr="00671FBA">
        <w:rPr>
          <w:i/>
          <w:iCs/>
        </w:rPr>
        <w:t>Manuel</w:t>
      </w:r>
      <w:r>
        <w:t xml:space="preserve">, </w:t>
      </w:r>
      <w:proofErr w:type="spellStart"/>
      <w:r w:rsidRPr="00AC46AF">
        <w:t>Cain</w:t>
      </w:r>
      <w:proofErr w:type="spellEnd"/>
      <w:r w:rsidRPr="00AC46AF">
        <w:t xml:space="preserve"> Todd </w:t>
      </w:r>
      <w:r>
        <w:t>fait essentiellement</w:t>
      </w:r>
      <w:r w:rsidRPr="00AB7C7B">
        <w:rPr>
          <w:rStyle w:val="Appelnotedebasdep"/>
          <w:rFonts w:ascii="Times New Roman" w:hAnsi="Times New Roman" w:cs="Times New Roman"/>
        </w:rPr>
        <w:footnoteReference w:id="3"/>
      </w:r>
      <w:r>
        <w:t xml:space="preserve"> valoir que le non-cognitivisme </w:t>
      </w:r>
      <w:r w:rsidRPr="00AC46AF">
        <w:t>perme</w:t>
      </w:r>
      <w:r>
        <w:t xml:space="preserve">t </w:t>
      </w:r>
      <w:r w:rsidRPr="00AC46AF">
        <w:t xml:space="preserve">d’éviter </w:t>
      </w:r>
      <w:r>
        <w:t>de nous frotter à des questions métaphysiques épineuses sur les propriétés morales,</w:t>
      </w:r>
      <w:r w:rsidRPr="00C34953">
        <w:t xml:space="preserve"> </w:t>
      </w:r>
      <w:r>
        <w:t>sans non plus rejeter notre pratique morale. Si nos énoncés moraux sont strictement prescriptifs, qu’ils n’impliquent pas l’existence de propriétés morales, nous n’avons pas à nous pencher sur la nature de ces propriétés. On n’a pas, par exemple, à se demander si l’inadmissibilité est une propriété naturelle ou pas ou même si elle existe : on n’a qu’à retenir l’attitude de Pierre face au mensonge.</w:t>
      </w:r>
      <w:r w:rsidRPr="00AC46AF">
        <w:t xml:space="preserve"> Le non-cognitivisme </w:t>
      </w:r>
      <w:r>
        <w:t>évite ces problèmes</w:t>
      </w:r>
      <w:r w:rsidRPr="00AC46AF">
        <w:t>.</w:t>
      </w:r>
    </w:p>
    <w:p w14:paraId="787911A2" w14:textId="77777777" w:rsidR="007B3030" w:rsidRPr="00C8491C" w:rsidRDefault="007B3030" w:rsidP="007B3030">
      <w:pPr>
        <w:pStyle w:val="Corps"/>
      </w:pPr>
      <w:r w:rsidRPr="00AC46AF">
        <w:t>L’</w:t>
      </w:r>
      <w:r w:rsidRPr="00AC46AF">
        <w:rPr>
          <w:i/>
          <w:iCs/>
        </w:rPr>
        <w:t xml:space="preserve">Essai </w:t>
      </w:r>
      <w:r w:rsidRPr="00AC46AF">
        <w:t>nou</w:t>
      </w:r>
      <w:r>
        <w:t>s donne une autre raison, un peu moins générale,</w:t>
      </w:r>
      <w:r w:rsidRPr="00AC46AF">
        <w:t xml:space="preserve"> d’être </w:t>
      </w:r>
      <w:proofErr w:type="gramStart"/>
      <w:r w:rsidRPr="00AC46AF">
        <w:t>non</w:t>
      </w:r>
      <w:r>
        <w:t xml:space="preserve"> </w:t>
      </w:r>
      <w:r w:rsidRPr="00AC46AF">
        <w:t>cognitiviste</w:t>
      </w:r>
      <w:proofErr w:type="gramEnd"/>
      <w:r>
        <w:t>. L’argument se retrouve aussi bien dans l’</w:t>
      </w:r>
      <w:r>
        <w:rPr>
          <w:i/>
          <w:iCs/>
        </w:rPr>
        <w:t xml:space="preserve">Essai </w:t>
      </w:r>
      <w:r>
        <w:t xml:space="preserve">(p. 38) que sous la plume de Jaquet et </w:t>
      </w:r>
      <w:proofErr w:type="spellStart"/>
      <w:r>
        <w:t>Cova</w:t>
      </w:r>
      <w:proofErr w:type="spellEnd"/>
      <w:r>
        <w:t xml:space="preserve"> dans le </w:t>
      </w:r>
      <w:r>
        <w:rPr>
          <w:i/>
          <w:iCs/>
        </w:rPr>
        <w:t xml:space="preserve">Manuel </w:t>
      </w:r>
      <w:r>
        <w:t>(p. 338) et opère à peu près comme suit</w:t>
      </w:r>
      <w:r w:rsidRPr="00AC46AF">
        <w:t>.</w:t>
      </w:r>
      <w:r>
        <w:t xml:space="preserve"> </w:t>
      </w:r>
      <w:r w:rsidRPr="00165FD4">
        <w:t xml:space="preserve">D’abord, les jugements moraux sont motivants : lorsqu’un individu </w:t>
      </w:r>
      <w:r>
        <w:t xml:space="preserve">normal </w:t>
      </w:r>
      <w:r w:rsidRPr="00165FD4">
        <w:t xml:space="preserve">juge qu’une action est mauvaise, il a une </w:t>
      </w:r>
      <w:r w:rsidRPr="00165FD4">
        <w:rPr>
          <w:i/>
          <w:iCs/>
        </w:rPr>
        <w:t xml:space="preserve">certaine </w:t>
      </w:r>
      <w:r w:rsidRPr="00165FD4">
        <w:t xml:space="preserve">motivation à ne pas la poser (cette motivation peut être dépassée par un désir). Ensuite, les </w:t>
      </w:r>
      <w:r w:rsidRPr="00165FD4">
        <w:lastRenderedPageBreak/>
        <w:t xml:space="preserve">jugements descriptifs ne </w:t>
      </w:r>
      <w:r>
        <w:t>sont</w:t>
      </w:r>
      <w:r w:rsidRPr="00165FD4">
        <w:t xml:space="preserve"> </w:t>
      </w:r>
      <w:r w:rsidRPr="00165FD4">
        <w:rPr>
          <w:i/>
          <w:iCs/>
        </w:rPr>
        <w:t xml:space="preserve">pas </w:t>
      </w:r>
      <w:r w:rsidRPr="00165FD4">
        <w:t xml:space="preserve">motivants : </w:t>
      </w:r>
      <w:r>
        <w:t>seuls les désirs motivent</w:t>
      </w:r>
      <w:r w:rsidRPr="00165FD4">
        <w:t>. Donc, les jugements moraux</w:t>
      </w:r>
      <w:r>
        <w:t xml:space="preserve"> </w:t>
      </w:r>
      <w:r w:rsidRPr="00165FD4">
        <w:t>ne sont pas descriptifs.</w:t>
      </w:r>
      <w:r>
        <w:t xml:space="preserve"> Bien sûr, cet argument suppose qu’un jugement ne peut pas être </w:t>
      </w:r>
      <w:r>
        <w:rPr>
          <w:i/>
          <w:iCs/>
        </w:rPr>
        <w:t xml:space="preserve">à la fois </w:t>
      </w:r>
      <w:r>
        <w:t>descriptif et expressif. (Comme on le verra bientôt, cette supposition est rejetée par Todd.)</w:t>
      </w:r>
    </w:p>
    <w:p w14:paraId="57A65ACD" w14:textId="77777777" w:rsidR="007B3030" w:rsidRPr="00AC46AF" w:rsidRDefault="007B3030" w:rsidP="007B3030">
      <w:pPr>
        <w:pStyle w:val="Corps"/>
      </w:pPr>
      <w:r>
        <w:t xml:space="preserve">Nous avons donc deux raisons de souscrire au non-cognitivisme : il permet d’éviter la métaphysique des propriétés morales et d’expliquer le caractère motivant des jugements moraux. Or, le non-cognitivisme a aussi ses problèmes. Le plus notable d’entre eux, examiné à la loupe par Jaquet, </w:t>
      </w:r>
      <w:proofErr w:type="spellStart"/>
      <w:r>
        <w:t>Naar</w:t>
      </w:r>
      <w:proofErr w:type="spellEnd"/>
      <w:r>
        <w:t xml:space="preserve"> et Todd, se nomme «</w:t>
      </w:r>
      <w:r>
        <w:rPr>
          <w:rFonts w:ascii="Times New Roman" w:hAnsi="Times New Roman" w:cs="Times New Roman"/>
        </w:rPr>
        <w:t> </w:t>
      </w:r>
      <w:r>
        <w:t>problème de l’enchâssement</w:t>
      </w:r>
      <w:r>
        <w:rPr>
          <w:rFonts w:ascii="Times New Roman" w:hAnsi="Times New Roman" w:cs="Times New Roman"/>
        </w:rPr>
        <w:t> </w:t>
      </w:r>
      <w:r>
        <w:t xml:space="preserve">». Formulé à partir d’idées de Peter </w:t>
      </w:r>
      <w:proofErr w:type="spellStart"/>
      <w:r>
        <w:t>Geach</w:t>
      </w:r>
      <w:proofErr w:type="spellEnd"/>
      <w:r>
        <w:t xml:space="preserve"> et de </w:t>
      </w:r>
      <w:proofErr w:type="spellStart"/>
      <w:r>
        <w:t>Gottlob</w:t>
      </w:r>
      <w:proofErr w:type="spellEnd"/>
      <w:r>
        <w:t xml:space="preserve"> Frege, il souligne que si les jugements moraux sont expressifs ou impératifs, on ne peut pas enchâsser des énoncés moraux par des connecteurs logiques et donc on ne peut pas rendre compte des inférences morales valides. Prenons :</w:t>
      </w:r>
    </w:p>
    <w:p w14:paraId="23F65A7E" w14:textId="77777777" w:rsidR="007B3030" w:rsidRPr="00AC46AF" w:rsidRDefault="007B3030" w:rsidP="00F77DEF">
      <w:pPr>
        <w:pStyle w:val="VDICitation"/>
      </w:pPr>
      <w:r w:rsidRPr="00AC46AF">
        <w:tab/>
        <w:t>Voler est mal.</w:t>
      </w:r>
    </w:p>
    <w:p w14:paraId="3CFA5C74" w14:textId="77777777" w:rsidR="007B3030" w:rsidRPr="00AC46AF" w:rsidRDefault="007B3030" w:rsidP="00F77DEF">
      <w:pPr>
        <w:pStyle w:val="VDICitation"/>
      </w:pPr>
      <w:r w:rsidRPr="00AC46AF">
        <w:t>Si voler est mal, il est mal d’apprendre à son petit frère à voler.</w:t>
      </w:r>
    </w:p>
    <w:p w14:paraId="6BB9AF52" w14:textId="77777777" w:rsidR="007B3030" w:rsidRPr="00AC46AF" w:rsidRDefault="007B3030" w:rsidP="00F77DEF">
      <w:pPr>
        <w:pStyle w:val="VDICitation"/>
      </w:pPr>
      <w:r w:rsidRPr="00AC46AF">
        <w:tab/>
      </w:r>
      <w:r w:rsidRPr="009E5869">
        <w:rPr>
          <w:i/>
          <w:iCs/>
        </w:rPr>
        <w:t>Donc,</w:t>
      </w:r>
      <w:r w:rsidRPr="00AC46AF">
        <w:t xml:space="preserve"> il est mal d’apprendre à son petit frère à voler.</w:t>
      </w:r>
    </w:p>
    <w:p w14:paraId="4D87CD2E" w14:textId="77777777" w:rsidR="007B3030" w:rsidRPr="00AC46AF" w:rsidRDefault="007B3030" w:rsidP="007B3030">
      <w:pPr>
        <w:pStyle w:val="Corps"/>
      </w:pPr>
      <w:r w:rsidRPr="00AC46AF">
        <w:t>Rappelons que selon le non-cognitivisme, il faut comprendre la première prémisse (et la conclusion) comme exprimant ou prescrivant quelque chose : «</w:t>
      </w:r>
      <w:r>
        <w:rPr>
          <w:rFonts w:ascii="Times New Roman" w:hAnsi="Times New Roman" w:cs="Times New Roman"/>
        </w:rPr>
        <w:t> </w:t>
      </w:r>
      <w:proofErr w:type="spellStart"/>
      <w:r w:rsidRPr="00AC46AF">
        <w:t>Bou</w:t>
      </w:r>
      <w:r>
        <w:t>h</w:t>
      </w:r>
      <w:proofErr w:type="spellEnd"/>
      <w:r w:rsidRPr="00AC46AF">
        <w:t>, le vol</w:t>
      </w:r>
      <w:r>
        <w:rPr>
          <w:rFonts w:ascii="Times New Roman" w:hAnsi="Times New Roman" w:cs="Times New Roman"/>
        </w:rPr>
        <w:t> </w:t>
      </w:r>
      <w:r>
        <w:t>!</w:t>
      </w:r>
      <w:r>
        <w:rPr>
          <w:rFonts w:ascii="Times New Roman" w:hAnsi="Times New Roman" w:cs="Times New Roman"/>
        </w:rPr>
        <w:t> </w:t>
      </w:r>
      <w:r w:rsidRPr="00AC46AF">
        <w:t>» ou «</w:t>
      </w:r>
      <w:r>
        <w:rPr>
          <w:rFonts w:ascii="Times New Roman" w:hAnsi="Times New Roman" w:cs="Times New Roman"/>
        </w:rPr>
        <w:t> </w:t>
      </w:r>
      <w:r w:rsidRPr="00AC46AF">
        <w:t xml:space="preserve">Ne </w:t>
      </w:r>
      <w:proofErr w:type="spellStart"/>
      <w:r w:rsidRPr="00AC46AF">
        <w:t>volez</w:t>
      </w:r>
      <w:proofErr w:type="spellEnd"/>
      <w:r w:rsidRPr="00AC46AF">
        <w:t xml:space="preserve"> pas</w:t>
      </w:r>
      <w:r>
        <w:rPr>
          <w:rFonts w:ascii="Times New Roman" w:hAnsi="Times New Roman" w:cs="Times New Roman"/>
        </w:rPr>
        <w:t> </w:t>
      </w:r>
      <w:r>
        <w:t>!</w:t>
      </w:r>
      <w:r>
        <w:rPr>
          <w:rFonts w:ascii="Times New Roman" w:hAnsi="Times New Roman" w:cs="Times New Roman"/>
        </w:rPr>
        <w:t> </w:t>
      </w:r>
      <w:r w:rsidRPr="00AC46AF">
        <w:t>». Mais comment devrait-on lire la seconde prémisse</w:t>
      </w:r>
      <w:r>
        <w:rPr>
          <w:rFonts w:ascii="Times New Roman" w:hAnsi="Times New Roman" w:cs="Times New Roman"/>
        </w:rPr>
        <w:t> </w:t>
      </w:r>
      <w:r>
        <w:t>?</w:t>
      </w:r>
      <w:r w:rsidRPr="00AC46AF">
        <w:t xml:space="preserve"> «</w:t>
      </w:r>
      <w:r>
        <w:rPr>
          <w:rFonts w:ascii="Times New Roman" w:hAnsi="Times New Roman" w:cs="Times New Roman"/>
        </w:rPr>
        <w:t> </w:t>
      </w:r>
      <w:r w:rsidRPr="00AC46AF">
        <w:t xml:space="preserve">Si, </w:t>
      </w:r>
      <w:r>
        <w:t>“</w:t>
      </w:r>
      <w:proofErr w:type="spellStart"/>
      <w:r>
        <w:t>Bouh</w:t>
      </w:r>
      <w:proofErr w:type="spellEnd"/>
      <w:r>
        <w:t>, le vol</w:t>
      </w:r>
      <w:r>
        <w:rPr>
          <w:rFonts w:ascii="Times New Roman" w:hAnsi="Times New Roman" w:cs="Times New Roman"/>
        </w:rPr>
        <w:t> </w:t>
      </w:r>
      <w:r>
        <w:t>!”</w:t>
      </w:r>
      <w:r w:rsidRPr="00AC46AF">
        <w:t xml:space="preserve">, alors </w:t>
      </w:r>
      <w:r>
        <w:t>“</w:t>
      </w:r>
      <w:proofErr w:type="spellStart"/>
      <w:r>
        <w:t>Bouh</w:t>
      </w:r>
      <w:proofErr w:type="spellEnd"/>
      <w:r>
        <w:t xml:space="preserve">, </w:t>
      </w:r>
      <w:r w:rsidRPr="00AC46AF">
        <w:t>appren</w:t>
      </w:r>
      <w:r>
        <w:t>dr</w:t>
      </w:r>
      <w:r w:rsidRPr="00AC46AF">
        <w:t>e à votre petit frère à voler</w:t>
      </w:r>
      <w:r>
        <w:rPr>
          <w:rFonts w:ascii="Times New Roman" w:hAnsi="Times New Roman" w:cs="Times New Roman"/>
        </w:rPr>
        <w:t> </w:t>
      </w:r>
      <w:r>
        <w:t>!”</w:t>
      </w:r>
      <w:r>
        <w:rPr>
          <w:rFonts w:ascii="Times New Roman" w:hAnsi="Times New Roman" w:cs="Times New Roman"/>
        </w:rPr>
        <w:t> </w:t>
      </w:r>
      <w:r w:rsidRPr="00AC46AF">
        <w:t>» n’a aucun sens</w:t>
      </w:r>
      <w:r>
        <w:t> : comme tout connecteur logique, «</w:t>
      </w:r>
      <w:r>
        <w:rPr>
          <w:rFonts w:ascii="Times New Roman" w:hAnsi="Times New Roman" w:cs="Times New Roman"/>
        </w:rPr>
        <w:t> </w:t>
      </w:r>
      <w:r>
        <w:t>si… alors</w:t>
      </w:r>
      <w:r>
        <w:rPr>
          <w:rFonts w:ascii="Times New Roman" w:hAnsi="Times New Roman" w:cs="Times New Roman"/>
        </w:rPr>
        <w:t> </w:t>
      </w:r>
      <w:r>
        <w:t>» relie entre elles des propositions et non des exclamations (ou des phrases impératives)</w:t>
      </w:r>
      <w:r w:rsidRPr="00AC46AF">
        <w:t xml:space="preserve">. </w:t>
      </w:r>
      <w:r>
        <w:t>Bref</w:t>
      </w:r>
      <w:r w:rsidRPr="00AC46AF">
        <w:t xml:space="preserve">, chaque fois que nous utilisons un connecteur logique devant une proposition morale, </w:t>
      </w:r>
      <w:r>
        <w:t>nous avons un problème.</w:t>
      </w:r>
    </w:p>
    <w:p w14:paraId="6DD7493B" w14:textId="77777777" w:rsidR="007B3030" w:rsidRPr="00AC46AF" w:rsidRDefault="007B3030" w:rsidP="007B3030">
      <w:pPr>
        <w:pStyle w:val="Corps"/>
      </w:pPr>
      <w:r w:rsidRPr="00AC46AF">
        <w:tab/>
      </w:r>
      <w:r>
        <w:t>La</w:t>
      </w:r>
      <w:r w:rsidRPr="00AC46AF">
        <w:t xml:space="preserve"> solution classique</w:t>
      </w:r>
      <w:r w:rsidRPr="00AB7C7B">
        <w:rPr>
          <w:rStyle w:val="Appelnotedebasdep"/>
          <w:rFonts w:ascii="Times New Roman" w:hAnsi="Times New Roman" w:cs="Times New Roman"/>
        </w:rPr>
        <w:footnoteReference w:id="4"/>
      </w:r>
      <w:r w:rsidRPr="00AC46AF">
        <w:t xml:space="preserve"> consiste à élaborer une logique des attitudes : «</w:t>
      </w:r>
      <w:r>
        <w:rPr>
          <w:rFonts w:ascii="Times New Roman" w:hAnsi="Times New Roman" w:cs="Times New Roman"/>
        </w:rPr>
        <w:t> </w:t>
      </w:r>
      <w:r w:rsidRPr="00AC46AF">
        <w:t xml:space="preserve">si voler est mal, il est mal d’apprendre à son petit frère </w:t>
      </w:r>
      <w:r>
        <w:t>à</w:t>
      </w:r>
      <w:r w:rsidRPr="00AC46AF">
        <w:t xml:space="preserve"> voler</w:t>
      </w:r>
      <w:r>
        <w:rPr>
          <w:rFonts w:ascii="Times New Roman" w:hAnsi="Times New Roman" w:cs="Times New Roman"/>
        </w:rPr>
        <w:t> </w:t>
      </w:r>
      <w:r w:rsidRPr="00AC46AF">
        <w:t xml:space="preserve">» communique une attitude de deuxième ordre, c’est-à-dire la désapprobation d’une combinaison d’attitudes : </w:t>
      </w:r>
      <w:r>
        <w:t xml:space="preserve">par exemple, </w:t>
      </w:r>
      <w:r w:rsidRPr="00AC46AF">
        <w:t>«</w:t>
      </w:r>
      <w:r>
        <w:rPr>
          <w:rFonts w:ascii="Times New Roman" w:hAnsi="Times New Roman" w:cs="Times New Roman"/>
        </w:rPr>
        <w:t> </w:t>
      </w:r>
      <w:proofErr w:type="spellStart"/>
      <w:r w:rsidRPr="00AC46AF">
        <w:t>Bou</w:t>
      </w:r>
      <w:r>
        <w:t>h</w:t>
      </w:r>
      <w:proofErr w:type="spellEnd"/>
      <w:r w:rsidRPr="00AC46AF">
        <w:t xml:space="preserve">, la combinaison de </w:t>
      </w:r>
      <w:r>
        <w:t>“</w:t>
      </w:r>
      <w:proofErr w:type="spellStart"/>
      <w:r w:rsidRPr="00AC46AF">
        <w:t>bou</w:t>
      </w:r>
      <w:r>
        <w:t>h</w:t>
      </w:r>
      <w:proofErr w:type="spellEnd"/>
      <w:r w:rsidRPr="00AC46AF">
        <w:t xml:space="preserve"> </w:t>
      </w:r>
      <w:r>
        <w:t>le vol</w:t>
      </w:r>
      <w:r>
        <w:rPr>
          <w:rFonts w:ascii="Times New Roman" w:hAnsi="Times New Roman" w:cs="Times New Roman"/>
        </w:rPr>
        <w:t> </w:t>
      </w:r>
      <w:r>
        <w:t>!”</w:t>
      </w:r>
      <w:r w:rsidRPr="00AC46AF">
        <w:t xml:space="preserve"> et de </w:t>
      </w:r>
      <w:r>
        <w:t>“</w:t>
      </w:r>
      <w:proofErr w:type="spellStart"/>
      <w:r>
        <w:t>bouh</w:t>
      </w:r>
      <w:proofErr w:type="spellEnd"/>
      <w:r>
        <w:t>, apprendre à son petit frère</w:t>
      </w:r>
      <w:r w:rsidRPr="00AC46AF">
        <w:t xml:space="preserve"> à voler</w:t>
      </w:r>
      <w:r>
        <w:rPr>
          <w:rFonts w:ascii="Times New Roman" w:hAnsi="Times New Roman" w:cs="Times New Roman"/>
        </w:rPr>
        <w:t> </w:t>
      </w:r>
      <w:r>
        <w:t>!”</w:t>
      </w:r>
      <w:r>
        <w:rPr>
          <w:rFonts w:ascii="Times New Roman" w:hAnsi="Times New Roman" w:cs="Times New Roman"/>
        </w:rPr>
        <w:t> </w:t>
      </w:r>
      <w:r w:rsidRPr="00AC46AF">
        <w:t xml:space="preserve">». </w:t>
      </w:r>
      <w:r>
        <w:t xml:space="preserve">Comme beaucoup avant eux, Todd, Jaquet et </w:t>
      </w:r>
      <w:proofErr w:type="spellStart"/>
      <w:r>
        <w:t>Naar</w:t>
      </w:r>
      <w:proofErr w:type="spellEnd"/>
      <w:r>
        <w:t xml:space="preserve"> restent sceptiques devant cette solution.</w:t>
      </w:r>
    </w:p>
    <w:p w14:paraId="77214F5F" w14:textId="77777777" w:rsidR="007B3030" w:rsidRPr="00AB13F5" w:rsidRDefault="007B3030" w:rsidP="007B3030">
      <w:pPr>
        <w:pStyle w:val="Corps"/>
      </w:pPr>
      <w:r w:rsidRPr="00AC46AF">
        <w:tab/>
        <w:t xml:space="preserve">Todd nous offre </w:t>
      </w:r>
      <w:r>
        <w:t xml:space="preserve">pour sa part </w:t>
      </w:r>
      <w:r w:rsidRPr="00AC46AF">
        <w:t xml:space="preserve">une solution </w:t>
      </w:r>
      <w:r>
        <w:t xml:space="preserve">originale </w:t>
      </w:r>
      <w:r w:rsidRPr="00AC46AF">
        <w:t xml:space="preserve">au problème de </w:t>
      </w:r>
      <w:r>
        <w:t>l’enchâssement</w:t>
      </w:r>
      <w:r w:rsidRPr="00AC46AF">
        <w:t xml:space="preserve"> : accepter que les jugements moraux </w:t>
      </w:r>
      <w:proofErr w:type="gramStart"/>
      <w:r>
        <w:t>sont</w:t>
      </w:r>
      <w:proofErr w:type="gramEnd"/>
      <w:r w:rsidRPr="00AC46AF">
        <w:t xml:space="preserve"> mixtes, à la fois descriptifs et expressifs. </w:t>
      </w:r>
      <w:r>
        <w:t xml:space="preserve">Cette solution, qui va à l’encontre de la supposition de Jaquet et </w:t>
      </w:r>
      <w:proofErr w:type="spellStart"/>
      <w:r>
        <w:t>Naar</w:t>
      </w:r>
      <w:proofErr w:type="spellEnd"/>
      <w:r>
        <w:t xml:space="preserve"> selon laquelle un jugement est soit descriptif, soit expressif, est attrayante. La </w:t>
      </w:r>
      <w:r w:rsidRPr="00AC46AF">
        <w:t>composante descriptive</w:t>
      </w:r>
      <w:r>
        <w:t xml:space="preserve"> d’un jugement moral</w:t>
      </w:r>
      <w:r w:rsidRPr="00AC46AF">
        <w:t xml:space="preserve"> permet </w:t>
      </w:r>
      <w:r>
        <w:t xml:space="preserve">en effet </w:t>
      </w:r>
      <w:r w:rsidRPr="00AC46AF">
        <w:t>d’expliquer la validité de certaines inférences logiques</w:t>
      </w:r>
      <w:r>
        <w:t>, quand</w:t>
      </w:r>
      <w:r w:rsidRPr="00AC46AF">
        <w:t xml:space="preserve"> </w:t>
      </w:r>
      <w:r>
        <w:t xml:space="preserve">sa </w:t>
      </w:r>
      <w:r w:rsidRPr="00AC46AF">
        <w:t xml:space="preserve">composante expressive permet d’expliquer </w:t>
      </w:r>
      <w:r>
        <w:t xml:space="preserve">son rôle motivant. </w:t>
      </w:r>
      <w:r w:rsidRPr="00AC46AF">
        <w:t xml:space="preserve">Cette solution </w:t>
      </w:r>
      <w:r>
        <w:t xml:space="preserve">mine toutefois la raison que Todd avait proposée en faveur du non-cognitivisme : la possibilité d’éviter les controverses métaphysiques. De fait, si les jugements moraux sont mixtes, ils attribuent en partie des propriétés morales dont il faudra faire la métaphysique. Qu’à cela ne tienne : Jaquet et </w:t>
      </w:r>
      <w:proofErr w:type="spellStart"/>
      <w:r>
        <w:t>Naar</w:t>
      </w:r>
      <w:proofErr w:type="spellEnd"/>
      <w:r>
        <w:t xml:space="preserve"> nous ont fourni une autre raison d’être </w:t>
      </w:r>
      <w:proofErr w:type="gramStart"/>
      <w:r>
        <w:t>non cognitiviste</w:t>
      </w:r>
      <w:proofErr w:type="gramEnd"/>
      <w:r>
        <w:t xml:space="preserve"> avec l’argument de la </w:t>
      </w:r>
      <w:r>
        <w:lastRenderedPageBreak/>
        <w:t xml:space="preserve">motivation. Il faut simplement en amender la conclusion : les jugements moraux ne sont pas </w:t>
      </w:r>
      <w:r>
        <w:rPr>
          <w:i/>
          <w:iCs/>
        </w:rPr>
        <w:t>simplement descriptifs</w:t>
      </w:r>
      <w:r>
        <w:t>.</w:t>
      </w:r>
    </w:p>
    <w:p w14:paraId="53EEE1ED" w14:textId="77777777" w:rsidR="007B3030" w:rsidRPr="00F77DEF" w:rsidRDefault="007B3030" w:rsidP="00F77DEF">
      <w:pPr>
        <w:pStyle w:val="Corps"/>
      </w:pPr>
      <w:r w:rsidRPr="00AC46AF">
        <w:t xml:space="preserve">Lire Todd en parallèle à Jaquet et </w:t>
      </w:r>
      <w:proofErr w:type="spellStart"/>
      <w:r w:rsidRPr="00AC46AF">
        <w:t>Naar</w:t>
      </w:r>
      <w:proofErr w:type="spellEnd"/>
      <w:r w:rsidRPr="00AC46AF">
        <w:t xml:space="preserve"> est donc fructueux. D’un côté, Jaquet et </w:t>
      </w:r>
      <w:proofErr w:type="spellStart"/>
      <w:r w:rsidRPr="00AC46AF">
        <w:t>Naar</w:t>
      </w:r>
      <w:proofErr w:type="spellEnd"/>
      <w:r w:rsidRPr="00AC46AF">
        <w:t xml:space="preserve"> nous </w:t>
      </w:r>
      <w:r>
        <w:t xml:space="preserve">donnent une bonne raison d’être </w:t>
      </w:r>
      <w:proofErr w:type="gramStart"/>
      <w:r>
        <w:t>non cognitiviste</w:t>
      </w:r>
      <w:proofErr w:type="gramEnd"/>
      <w:r>
        <w:t xml:space="preserve">, une raison qui manquait à Todd. D’un autre côté, Todd offre une réponse intéressante au problème de l’enchâssement, que Jaquet et </w:t>
      </w:r>
      <w:proofErr w:type="spellStart"/>
      <w:r>
        <w:t>Naar</w:t>
      </w:r>
      <w:proofErr w:type="spellEnd"/>
      <w:r>
        <w:t xml:space="preserve"> jugent insoluble. Le non-cognitivisme, dans sa version mixte, est bien vivant. </w:t>
      </w:r>
    </w:p>
    <w:p w14:paraId="0E5E2907" w14:textId="77777777" w:rsidR="007B3030" w:rsidRPr="00943ED9" w:rsidRDefault="007B3030" w:rsidP="007B3030">
      <w:pPr>
        <w:pStyle w:val="VDIIntertitre"/>
      </w:pPr>
      <w:r>
        <w:t>La morale, une fable</w:t>
      </w:r>
      <w:r>
        <w:rPr>
          <w:rFonts w:ascii="Times New Roman" w:hAnsi="Times New Roman" w:cs="Times New Roman"/>
        </w:rPr>
        <w:t> </w:t>
      </w:r>
      <w:r>
        <w:t>?</w:t>
      </w:r>
    </w:p>
    <w:p w14:paraId="4D58A28C" w14:textId="77777777" w:rsidR="007B3030" w:rsidRDefault="007B3030" w:rsidP="007B3030">
      <w:pPr>
        <w:pStyle w:val="Corps"/>
      </w:pPr>
      <w:r>
        <w:t xml:space="preserve">Tournons-nous à présent vers </w:t>
      </w:r>
      <w:r w:rsidRPr="00AC46AF">
        <w:t xml:space="preserve">une deuxième théorie </w:t>
      </w:r>
      <w:proofErr w:type="spellStart"/>
      <w:r w:rsidRPr="00AC46AF">
        <w:t>métaéthiqu</w:t>
      </w:r>
      <w:r>
        <w:t>e</w:t>
      </w:r>
      <w:proofErr w:type="spellEnd"/>
      <w:r>
        <w:t> : la théorie de l’erreur. Même si elle est encore plus «</w:t>
      </w:r>
      <w:r>
        <w:rPr>
          <w:rFonts w:ascii="Times New Roman" w:hAnsi="Times New Roman" w:cs="Times New Roman"/>
        </w:rPr>
        <w:t> </w:t>
      </w:r>
      <w:r>
        <w:t>sombre</w:t>
      </w:r>
      <w:r>
        <w:rPr>
          <w:rFonts w:ascii="Times New Roman" w:hAnsi="Times New Roman" w:cs="Times New Roman"/>
        </w:rPr>
        <w:t> </w:t>
      </w:r>
      <w:r>
        <w:t xml:space="preserve">», Jaquet et </w:t>
      </w:r>
      <w:proofErr w:type="spellStart"/>
      <w:r>
        <w:t>Naar</w:t>
      </w:r>
      <w:proofErr w:type="spellEnd"/>
      <w:r>
        <w:t xml:space="preserve"> s’y montrent très favorables, le livre étant organisé de façon à rejeter l’immense majorité des théories qui pourraient «</w:t>
      </w:r>
      <w:r>
        <w:rPr>
          <w:rFonts w:ascii="Times New Roman" w:hAnsi="Times New Roman" w:cs="Times New Roman"/>
        </w:rPr>
        <w:t> </w:t>
      </w:r>
      <w:r>
        <w:t>sauver la morale</w:t>
      </w:r>
      <w:r>
        <w:rPr>
          <w:rFonts w:ascii="Times New Roman" w:hAnsi="Times New Roman" w:cs="Times New Roman"/>
        </w:rPr>
        <w:t> </w:t>
      </w:r>
      <w:r>
        <w:t xml:space="preserve">». La théorie de l’erreur </w:t>
      </w:r>
      <w:r w:rsidRPr="00AC46AF">
        <w:t>contient trois thèses</w:t>
      </w:r>
      <w:r>
        <w:t> :</w:t>
      </w:r>
      <w:r w:rsidRPr="00AC46AF">
        <w:t xml:space="preserve"> </w:t>
      </w:r>
    </w:p>
    <w:p w14:paraId="5C60A6C1" w14:textId="77777777" w:rsidR="007B3030" w:rsidRPr="003429CC" w:rsidRDefault="007B3030" w:rsidP="007B3030">
      <w:pPr>
        <w:pStyle w:val="Corps"/>
      </w:pPr>
      <w:r>
        <w:rPr>
          <w:smallCaps/>
        </w:rPr>
        <w:t>t</w:t>
      </w:r>
      <w:r w:rsidRPr="00111BD4">
        <w:rPr>
          <w:smallCaps/>
        </w:rPr>
        <w:t>hèse conceptuelle :</w:t>
      </w:r>
      <w:r>
        <w:t xml:space="preserve"> Le </w:t>
      </w:r>
      <w:r w:rsidRPr="003429CC">
        <w:t>discours moral suppose l’existence des faits moraux</w:t>
      </w:r>
      <w:r>
        <w:t>.</w:t>
      </w:r>
    </w:p>
    <w:p w14:paraId="02EA2869" w14:textId="77777777" w:rsidR="007B3030" w:rsidRPr="003429CC" w:rsidRDefault="007B3030" w:rsidP="007B3030">
      <w:pPr>
        <w:pStyle w:val="Corps"/>
      </w:pPr>
      <w:r>
        <w:rPr>
          <w:smallCaps/>
        </w:rPr>
        <w:t>t</w:t>
      </w:r>
      <w:r w:rsidRPr="00816DCF">
        <w:rPr>
          <w:smallCaps/>
        </w:rPr>
        <w:t>hèse ontologique :</w:t>
      </w:r>
      <w:r>
        <w:t xml:space="preserve"> C</w:t>
      </w:r>
      <w:r w:rsidRPr="003429CC">
        <w:t xml:space="preserve">es faits moraux n’existent pas. </w:t>
      </w:r>
    </w:p>
    <w:p w14:paraId="6C1D0601" w14:textId="77777777" w:rsidR="007B3030" w:rsidRPr="003429CC" w:rsidRDefault="007B3030" w:rsidP="007B3030">
      <w:pPr>
        <w:pStyle w:val="Corps"/>
      </w:pPr>
      <w:r>
        <w:rPr>
          <w:smallCaps/>
        </w:rPr>
        <w:t>t</w:t>
      </w:r>
      <w:r w:rsidRPr="00E413CF">
        <w:rPr>
          <w:smallCaps/>
        </w:rPr>
        <w:t>hèse explicative</w:t>
      </w:r>
      <w:r>
        <w:t xml:space="preserve"> : Nous </w:t>
      </w:r>
      <w:r w:rsidRPr="003429CC">
        <w:t xml:space="preserve">pouvons expliquer </w:t>
      </w:r>
      <w:r>
        <w:t>l’erreur du discours moral.</w:t>
      </w:r>
      <w:r w:rsidRPr="003429CC">
        <w:t xml:space="preserve"> </w:t>
      </w:r>
    </w:p>
    <w:p w14:paraId="307C479B" w14:textId="77777777" w:rsidR="007B3030" w:rsidRDefault="007B3030" w:rsidP="007B3030">
      <w:pPr>
        <w:pStyle w:val="Corps"/>
      </w:pPr>
      <w:r w:rsidRPr="00AC46AF">
        <w:t>Cette structure</w:t>
      </w:r>
      <w:r>
        <w:t xml:space="preserve"> générale</w:t>
      </w:r>
      <w:r w:rsidRPr="00AC46AF">
        <w:t xml:space="preserve"> est admirablement exposée dans «</w:t>
      </w:r>
      <w:r>
        <w:rPr>
          <w:rFonts w:ascii="Times New Roman" w:hAnsi="Times New Roman" w:cs="Times New Roman"/>
        </w:rPr>
        <w:t> </w:t>
      </w:r>
      <w:r w:rsidRPr="00AC46AF">
        <w:t>Les jugements moraux sont-ils tous faux</w:t>
      </w:r>
      <w:r>
        <w:rPr>
          <w:rFonts w:ascii="Times New Roman" w:hAnsi="Times New Roman" w:cs="Times New Roman"/>
        </w:rPr>
        <w:t> </w:t>
      </w:r>
      <w:r>
        <w:t>?</w:t>
      </w:r>
      <w:r>
        <w:rPr>
          <w:rFonts w:ascii="Times New Roman" w:hAnsi="Times New Roman" w:cs="Times New Roman"/>
        </w:rPr>
        <w:t> </w:t>
      </w:r>
      <w:r w:rsidRPr="00AC46AF">
        <w:t>» de Patrick Turmel.</w:t>
      </w:r>
      <w:r>
        <w:t xml:space="preserve"> L’auteur </w:t>
      </w:r>
      <w:r w:rsidRPr="00AC46AF">
        <w:t xml:space="preserve">nous </w:t>
      </w:r>
      <w:r>
        <w:t>donne</w:t>
      </w:r>
      <w:r w:rsidRPr="00AC46AF">
        <w:t xml:space="preserve"> quelques raisons d’adopter la théorie de l’erreur. Le raisonnement principal est une interprétation particulière de ce qu’on appelle «</w:t>
      </w:r>
      <w:r>
        <w:rPr>
          <w:rFonts w:ascii="Times New Roman" w:hAnsi="Times New Roman" w:cs="Times New Roman"/>
        </w:rPr>
        <w:t> </w:t>
      </w:r>
      <w:r w:rsidRPr="00AC46AF">
        <w:t>l’argument de l’étrangeté</w:t>
      </w:r>
      <w:r>
        <w:rPr>
          <w:rFonts w:ascii="Times New Roman" w:hAnsi="Times New Roman" w:cs="Times New Roman"/>
        </w:rPr>
        <w:t> </w:t>
      </w:r>
      <w:r w:rsidRPr="00AC46AF">
        <w:t xml:space="preserve">». </w:t>
      </w:r>
      <w:r>
        <w:t>L</w:t>
      </w:r>
      <w:r w:rsidRPr="00AC46AF">
        <w:t xml:space="preserve">es propriétés morales, si elles existaient, seraient objectives : elles ne dépendraient pas de nos valeurs ou des valeurs de notre société. Qui plus est, leur existence ne dépendrait pas de nos fins ou de nos désirs. </w:t>
      </w:r>
      <w:r>
        <w:t>En vertu</w:t>
      </w:r>
      <w:r w:rsidRPr="00AC46AF">
        <w:t xml:space="preserve"> de </w:t>
      </w:r>
      <w:r>
        <w:t>quoi</w:t>
      </w:r>
      <w:r w:rsidRPr="00AC46AF">
        <w:t xml:space="preserve">, elles </w:t>
      </w:r>
      <w:r>
        <w:t>nous donneraient</w:t>
      </w:r>
      <w:r w:rsidRPr="00AC46AF">
        <w:t xml:space="preserve"> des raisons d’agir indépendantes de nos valeurs</w:t>
      </w:r>
      <w:r>
        <w:t xml:space="preserve"> et </w:t>
      </w:r>
      <w:r w:rsidRPr="00AC46AF">
        <w:t xml:space="preserve">de nos projets, c’est-à-dire des raisons </w:t>
      </w:r>
      <w:r w:rsidRPr="00AC46AF">
        <w:rPr>
          <w:i/>
          <w:iCs/>
        </w:rPr>
        <w:t>catégoriques</w:t>
      </w:r>
      <w:r w:rsidRPr="00AC46AF">
        <w:t xml:space="preserve">. </w:t>
      </w:r>
      <w:r>
        <w:t>Enfin</w:t>
      </w:r>
      <w:r w:rsidRPr="00AC46AF">
        <w:t>, ces propriétés ne seraient pas naturelles, c’est-à-dire qu’elles ne pourraient pas être étudiées par les sciences empiriques. De telles propriétés sont étranges</w:t>
      </w:r>
      <w:r>
        <w:t>, déclare</w:t>
      </w:r>
      <w:r w:rsidRPr="00AC46AF">
        <w:t xml:space="preserve"> J.</w:t>
      </w:r>
      <w:r>
        <w:t> </w:t>
      </w:r>
      <w:r w:rsidRPr="00AC46AF">
        <w:t xml:space="preserve">L. </w:t>
      </w:r>
      <w:proofErr w:type="spellStart"/>
      <w:r w:rsidRPr="00AC46AF">
        <w:t>Mackie</w:t>
      </w:r>
      <w:proofErr w:type="spellEnd"/>
      <w:r w:rsidRPr="00AC46AF">
        <w:t xml:space="preserve">, </w:t>
      </w:r>
      <w:r>
        <w:t xml:space="preserve">le père de la théorie </w:t>
      </w:r>
      <w:r w:rsidRPr="00AC46AF">
        <w:t>de l’erreur. Il ajout</w:t>
      </w:r>
      <w:r>
        <w:t>e</w:t>
      </w:r>
      <w:r w:rsidRPr="00AC46AF">
        <w:t xml:space="preserve"> que notre façon de connaître ses propriétés serait également étrange. </w:t>
      </w:r>
      <w:r>
        <w:t>Par quel sens pourrions-nous découvrir de telles entités extranaturelles</w:t>
      </w:r>
      <w:r>
        <w:rPr>
          <w:rFonts w:ascii="Times New Roman" w:hAnsi="Times New Roman" w:cs="Times New Roman"/>
        </w:rPr>
        <w:t> </w:t>
      </w:r>
      <w:r>
        <w:t>?</w:t>
      </w:r>
    </w:p>
    <w:p w14:paraId="2AD3DDCD" w14:textId="77777777" w:rsidR="007B3030" w:rsidRDefault="007B3030" w:rsidP="007B3030">
      <w:pPr>
        <w:pStyle w:val="Corps"/>
      </w:pPr>
      <w:r w:rsidRPr="00AC46AF">
        <w:t>Turmel considère</w:t>
      </w:r>
      <w:r>
        <w:t xml:space="preserve"> deux objections infructueuses. La première affirme que la théorie de l’erreur serait contradictoire : </w:t>
      </w:r>
      <w:r w:rsidRPr="00AC46AF">
        <w:t>pour toute action, la théorie de l’erreur dit qu’elle n’est ni permise ni obligatoire. Mais une action qui n’est pas obligatoire est permise</w:t>
      </w:r>
      <w:r>
        <w:rPr>
          <w:rFonts w:ascii="Times New Roman" w:hAnsi="Times New Roman" w:cs="Times New Roman"/>
        </w:rPr>
        <w:t> </w:t>
      </w:r>
      <w:r>
        <w:t>;</w:t>
      </w:r>
      <w:r w:rsidRPr="00AC46AF">
        <w:t xml:space="preserve"> et une action qui n’est pas permise est interdite</w:t>
      </w:r>
      <w:r>
        <w:t>. La théorie de l’erreur affirmerait donc, de façon contradictoire, que toute action serait à la fois permise et interdite.</w:t>
      </w:r>
      <w:r w:rsidRPr="00AC46AF">
        <w:t xml:space="preserve"> </w:t>
      </w:r>
      <w:r>
        <w:t>Or, cet argument</w:t>
      </w:r>
      <w:r w:rsidRPr="00AC46AF">
        <w:t xml:space="preserve"> </w:t>
      </w:r>
      <w:r>
        <w:t xml:space="preserve">repose sur une fausse opposition </w:t>
      </w:r>
      <w:r w:rsidRPr="00AC46AF">
        <w:t xml:space="preserve">: </w:t>
      </w:r>
      <w:r>
        <w:t>rien n’empêche que les actions n’aient pas de propriétés déontiques. De la même manière, les planètes et les étoiles ne sont ni permises ni interdites</w:t>
      </w:r>
      <w:r w:rsidRPr="00BE05C6">
        <w:rPr>
          <w:rFonts w:ascii="Times New Roman" w:hAnsi="Times New Roman" w:cs="Times New Roman"/>
          <w:szCs w:val="20"/>
        </w:rPr>
        <w:t> </w:t>
      </w:r>
      <w:r>
        <w:t>!</w:t>
      </w:r>
    </w:p>
    <w:p w14:paraId="1CF0C8CF" w14:textId="77777777" w:rsidR="007B3030" w:rsidRDefault="007B3030" w:rsidP="007B3030">
      <w:pPr>
        <w:pStyle w:val="Corps"/>
      </w:pPr>
      <w:r w:rsidRPr="00AC46AF">
        <w:lastRenderedPageBreak/>
        <w:t xml:space="preserve">Deuxièmement, </w:t>
      </w:r>
      <w:r>
        <w:t>certains objectent qu’il est littéralement impossible de croire</w:t>
      </w:r>
      <w:r w:rsidRPr="00AC46AF">
        <w:t xml:space="preserve"> la théorie de l’erreur. Mais cette thèse </w:t>
      </w:r>
      <w:r>
        <w:t>ne pose</w:t>
      </w:r>
      <w:r w:rsidRPr="00AC46AF">
        <w:t xml:space="preserve"> pas un </w:t>
      </w:r>
      <w:r>
        <w:t xml:space="preserve">véritable </w:t>
      </w:r>
      <w:r w:rsidRPr="00AC46AF">
        <w:t>problème pour l</w:t>
      </w:r>
      <w:r>
        <w:t>a</w:t>
      </w:r>
      <w:r w:rsidRPr="00AC46AF">
        <w:t xml:space="preserve"> théorie de l’erreur. Non seulement cela ne </w:t>
      </w:r>
      <w:r>
        <w:t xml:space="preserve">la falsifie pas </w:t>
      </w:r>
      <w:r w:rsidRPr="00AC46AF">
        <w:t xml:space="preserve">(comme </w:t>
      </w:r>
      <w:r>
        <w:t>le reconnaît</w:t>
      </w:r>
      <w:r w:rsidRPr="00AC46AF">
        <w:t xml:space="preserve"> Turmel), mais surtout, cela semble arranger les théoriciens de l’erreur. En effet, </w:t>
      </w:r>
      <w:r>
        <w:t xml:space="preserve">une bonne partie </w:t>
      </w:r>
      <w:r w:rsidRPr="00AC46AF">
        <w:t>d’entre eux</w:t>
      </w:r>
      <w:r>
        <w:t xml:space="preserve"> recommandent explicitement de vivre dans l’illusion la vérité – ne serait-ce que parce que la morale semble avoir un rôle social cohésif. Découvrir la</w:t>
      </w:r>
      <w:r w:rsidRPr="00AC46AF">
        <w:t xml:space="preserve"> théorie de l’erreur devient une sorte d’exploit intellectuel</w:t>
      </w:r>
      <w:r>
        <w:rPr>
          <w:rFonts w:ascii="Times New Roman" w:hAnsi="Times New Roman" w:cs="Times New Roman"/>
        </w:rPr>
        <w:t> </w:t>
      </w:r>
      <w:r>
        <w:t>; une fois qu’on a reconnu que les valeurs n’existent pas, il est peut-être préférable d’oublier cette découverte ou de la conserver pour les beaux jours. Et on se demande alors : ferais-je mieux d’accepter dans ma vie quotidienne le réalisme, le constructivisme ou le non-cognitivisme moral</w:t>
      </w:r>
      <w:r>
        <w:rPr>
          <w:rFonts w:ascii="Times New Roman" w:hAnsi="Times New Roman" w:cs="Times New Roman"/>
        </w:rPr>
        <w:t> </w:t>
      </w:r>
      <w:r>
        <w:t xml:space="preserve">? L’histoire de la </w:t>
      </w:r>
      <w:proofErr w:type="spellStart"/>
      <w:r>
        <w:t>métaéthique</w:t>
      </w:r>
      <w:proofErr w:type="spellEnd"/>
      <w:r>
        <w:t xml:space="preserve"> se rejoue donc selon le bon mot de Marx</w:t>
      </w:r>
      <w:r>
        <w:rPr>
          <w:rStyle w:val="Appelnotedebasdep"/>
          <w:rFonts w:ascii="Times New Roman" w:hAnsi="Times New Roman" w:cs="Times New Roman"/>
        </w:rPr>
        <w:footnoteReference w:id="5"/>
      </w:r>
      <w:r>
        <w:t> : auparavant, nous avons peiné à choisir une théorie qui décrirait le mieux les faits moraux, jusqu’à en découvrir l’inexistence (la tragédie)</w:t>
      </w:r>
      <w:r>
        <w:rPr>
          <w:rFonts w:ascii="Times New Roman" w:hAnsi="Times New Roman" w:cs="Times New Roman"/>
        </w:rPr>
        <w:t> </w:t>
      </w:r>
      <w:r>
        <w:t>; désormais, nous peinons à choisir la théorie fausse que nous «</w:t>
      </w:r>
      <w:r>
        <w:rPr>
          <w:rFonts w:ascii="Times New Roman" w:hAnsi="Times New Roman" w:cs="Times New Roman"/>
        </w:rPr>
        <w:t> </w:t>
      </w:r>
      <w:r>
        <w:t>devrions</w:t>
      </w:r>
      <w:r>
        <w:rPr>
          <w:rFonts w:ascii="Times New Roman" w:hAnsi="Times New Roman" w:cs="Times New Roman"/>
        </w:rPr>
        <w:t> </w:t>
      </w:r>
      <w:r>
        <w:t xml:space="preserve">» adopter ou faire semblant d’adopter (la farce). (Jaquet et </w:t>
      </w:r>
      <w:proofErr w:type="spellStart"/>
      <w:r>
        <w:t>Naar</w:t>
      </w:r>
      <w:proofErr w:type="spellEnd"/>
      <w:r>
        <w:t xml:space="preserve"> y consacrent dix-huit pages</w:t>
      </w:r>
      <w:r w:rsidRPr="001C569C">
        <w:rPr>
          <w:rFonts w:ascii="Times New Roman" w:hAnsi="Times New Roman" w:cs="Times New Roman"/>
          <w:szCs w:val="20"/>
        </w:rPr>
        <w:t> </w:t>
      </w:r>
      <w:r>
        <w:t>!)</w:t>
      </w:r>
    </w:p>
    <w:p w14:paraId="5C545DAD" w14:textId="77777777" w:rsidR="007B3030" w:rsidRDefault="007B3030" w:rsidP="007B3030">
      <w:pPr>
        <w:pStyle w:val="Corps"/>
      </w:pPr>
      <w:r w:rsidRPr="0036641A">
        <w:t xml:space="preserve">La théorie de l’erreur, cependant, s’expose à certaines </w:t>
      </w:r>
      <w:r w:rsidRPr="0036641A">
        <w:rPr>
          <w:noProof/>
        </w:rPr>
        <w:t xml:space="preserve">limitations. D’abord, on ne peut s'empêcher de se demander, </w:t>
      </w:r>
      <w:r w:rsidRPr="0036641A">
        <w:rPr>
          <w:i/>
          <w:iCs/>
          <w:noProof/>
        </w:rPr>
        <w:t>pace</w:t>
      </w:r>
      <w:r w:rsidRPr="0036641A">
        <w:rPr>
          <w:noProof/>
        </w:rPr>
        <w:t xml:space="preserve"> Turmel, ce qui la distingue d'un simple "repoussoir philosophique" (p.</w:t>
      </w:r>
      <w:r>
        <w:t> </w:t>
      </w:r>
      <w:r w:rsidRPr="0036641A">
        <w:rPr>
          <w:noProof/>
        </w:rPr>
        <w:t xml:space="preserve">124), jouant dans la théorie morale un rôle comparable au scepticisme </w:t>
      </w:r>
      <w:r>
        <w:rPr>
          <w:noProof/>
        </w:rPr>
        <w:t>en théorie de la connaissance</w:t>
      </w:r>
      <w:r w:rsidRPr="0036641A">
        <w:rPr>
          <w:noProof/>
        </w:rPr>
        <w:t xml:space="preserve">. Le sceptique affirme </w:t>
      </w:r>
      <w:r>
        <w:rPr>
          <w:noProof/>
        </w:rPr>
        <w:t>que</w:t>
      </w:r>
      <w:r w:rsidRPr="00AC46AF">
        <w:t xml:space="preserve"> nous ne pouvons rien connaître </w:t>
      </w:r>
      <w:r>
        <w:t>à force d’</w:t>
      </w:r>
      <w:r w:rsidRPr="00AC46AF">
        <w:t>arguments très raffinés. C’est malgré tout un repoussoir : si une théorie</w:t>
      </w:r>
      <w:r>
        <w:t xml:space="preserve"> </w:t>
      </w:r>
      <w:r w:rsidRPr="00AC46AF">
        <w:t>a des conclusions sceptiques, c’est qu’elle surestime les vertus de la connaissance</w:t>
      </w:r>
      <w:r>
        <w:rPr>
          <w:rFonts w:ascii="Times New Roman" w:hAnsi="Times New Roman" w:cs="Times New Roman"/>
        </w:rPr>
        <w:t> </w:t>
      </w:r>
      <w:r>
        <w:t>;</w:t>
      </w:r>
      <w:r w:rsidRPr="00AC46AF">
        <w:t xml:space="preserve"> la théorie doit donc être abandonnée. </w:t>
      </w:r>
      <w:r>
        <w:t>S’affronter au problème du scepticisme permet surtout de repenser la connaissance : peut-être est-elle faillible (elle persiste devant la possibilité de l’erreur), contextuelle (ses exigences dépendent du contexte) ou non lumineuse (on ne peut pas toujours savoir qu’on sait).</w:t>
      </w:r>
      <w:r w:rsidRPr="00AB7C7B">
        <w:rPr>
          <w:rStyle w:val="Appelnotedebasdep"/>
          <w:rFonts w:ascii="Times New Roman" w:hAnsi="Times New Roman" w:cs="Times New Roman"/>
        </w:rPr>
        <w:footnoteReference w:id="6"/>
      </w:r>
      <w:r>
        <w:t xml:space="preserve"> Pourquoi la théorie de l’erreur ne serait-elle pas, comme le scepticisme pour la connaissance, une simple invitation à réexaminer la nature de la valeur</w:t>
      </w:r>
      <w:r>
        <w:rPr>
          <w:rFonts w:ascii="Times New Roman" w:hAnsi="Times New Roman" w:cs="Times New Roman"/>
        </w:rPr>
        <w:t> </w:t>
      </w:r>
      <w:r>
        <w:t>?</w:t>
      </w:r>
    </w:p>
    <w:p w14:paraId="2B9AA3B2" w14:textId="77777777" w:rsidR="007B3030" w:rsidRDefault="007B3030" w:rsidP="007B3030">
      <w:pPr>
        <w:pStyle w:val="Corps"/>
      </w:pPr>
      <w:r>
        <w:t>Ensuite, l’argument de l’étrangeté semble friable. D’une part</w:t>
      </w:r>
      <w:r w:rsidRPr="00AC46AF">
        <w:t>, il n’est pas étrange que les propriétés morales soient non</w:t>
      </w:r>
      <w:r>
        <w:t xml:space="preserve"> </w:t>
      </w:r>
      <w:r w:rsidRPr="00AC46AF">
        <w:t>naturelles</w:t>
      </w:r>
      <w:r w:rsidRPr="00AC46AF">
        <w:rPr>
          <w:i/>
          <w:iCs/>
        </w:rPr>
        <w:t> </w:t>
      </w:r>
      <w:r w:rsidRPr="00AC46AF">
        <w:t xml:space="preserve">: </w:t>
      </w:r>
      <w:r>
        <w:t xml:space="preserve">cela veut seulement dire qu’elles échappent à la science, tout comme </w:t>
      </w:r>
      <w:r w:rsidRPr="00AC46AF">
        <w:t>la propriété</w:t>
      </w:r>
      <w:r>
        <w:t xml:space="preserve"> </w:t>
      </w:r>
      <w:r w:rsidRPr="00AC46AF">
        <w:t xml:space="preserve">qu’a un film d’être </w:t>
      </w:r>
      <w:r w:rsidRPr="00AC46AF">
        <w:rPr>
          <w:i/>
          <w:iCs/>
        </w:rPr>
        <w:t>bien ficelé</w:t>
      </w:r>
      <w:r>
        <w:rPr>
          <w:rFonts w:ascii="Times New Roman" w:hAnsi="Times New Roman" w:cs="Times New Roman"/>
          <w:i/>
          <w:iCs/>
        </w:rPr>
        <w:t> </w:t>
      </w:r>
      <w:r>
        <w:t>ou qu’a une</w:t>
      </w:r>
      <w:r w:rsidRPr="00AC46AF">
        <w:t xml:space="preserve"> loi d’être </w:t>
      </w:r>
      <w:r>
        <w:rPr>
          <w:i/>
          <w:iCs/>
        </w:rPr>
        <w:t>constitutionnelle</w:t>
      </w:r>
      <w:r w:rsidRPr="00AC46AF">
        <w:t>.</w:t>
      </w:r>
      <w:r>
        <w:t xml:space="preserve"> D’autre part</w:t>
      </w:r>
      <w:r w:rsidRPr="00AC46AF">
        <w:t xml:space="preserve">, </w:t>
      </w:r>
      <w:r>
        <w:t>il n’est pas forcément étrange que nous ayons parfois des raisons catégoriques. La présence de deux livres devant moi e</w:t>
      </w:r>
      <w:r w:rsidRPr="00AC46AF">
        <w:t>st une raison catégorique</w:t>
      </w:r>
      <w:r>
        <w:t xml:space="preserve"> </w:t>
      </w:r>
      <w:r w:rsidRPr="00AC46AF">
        <w:t>de croire</w:t>
      </w:r>
      <w:r>
        <w:t xml:space="preserve"> qu’il y a un nombre pair de livres</w:t>
      </w:r>
      <w:r w:rsidRPr="00AC46AF">
        <w:t xml:space="preserve">, </w:t>
      </w:r>
      <w:r>
        <w:t>peu importe mon intérêt pour la vérité</w:t>
      </w:r>
      <w:r w:rsidRPr="00AC46AF">
        <w:t xml:space="preserve">. De la même manière, j’ai une raison catégorique de </w:t>
      </w:r>
      <w:r>
        <w:t>ne pas gâcher ma vie</w:t>
      </w:r>
      <w:r w:rsidRPr="00AC46AF">
        <w:t xml:space="preserve">, </w:t>
      </w:r>
      <w:r>
        <w:t>peu importe mes pulsions de mort</w:t>
      </w:r>
      <w:r w:rsidRPr="00AC46AF">
        <w:t>.</w:t>
      </w:r>
    </w:p>
    <w:p w14:paraId="6686A214" w14:textId="77777777" w:rsidR="007B3030" w:rsidRDefault="007B3030" w:rsidP="007B3030">
      <w:pPr>
        <w:pStyle w:val="Corps"/>
      </w:pPr>
      <w:r>
        <w:t>I</w:t>
      </w:r>
      <w:r w:rsidRPr="00AC46AF">
        <w:t xml:space="preserve">l semble </w:t>
      </w:r>
      <w:r>
        <w:t xml:space="preserve">enfin </w:t>
      </w:r>
      <w:r w:rsidRPr="00AC46AF">
        <w:t xml:space="preserve">que la théorie de l’erreur </w:t>
      </w:r>
      <w:r>
        <w:t>soit</w:t>
      </w:r>
      <w:r w:rsidRPr="00AC46AF">
        <w:t xml:space="preserve"> beaucoup plus radicale que ses adhérents </w:t>
      </w:r>
      <w:r>
        <w:t xml:space="preserve">ne </w:t>
      </w:r>
      <w:r w:rsidRPr="00AC46AF">
        <w:t>l</w:t>
      </w:r>
      <w:r>
        <w:t>’envisagent</w:t>
      </w:r>
      <w:r w:rsidRPr="00AC46AF">
        <w:t xml:space="preserve">. </w:t>
      </w:r>
      <w:r>
        <w:t>Car il n’est pas clair qu’une fois les raisons catégoriques éliminées, les autres types de raisons tiendront toujours le coup.</w:t>
      </w:r>
      <w:r w:rsidRPr="00AB7C7B">
        <w:rPr>
          <w:rStyle w:val="Appelnotedebasdep"/>
          <w:rFonts w:ascii="Times New Roman" w:hAnsi="Times New Roman" w:cs="Times New Roman"/>
        </w:rPr>
        <w:footnoteReference w:id="7"/>
      </w:r>
      <w:r>
        <w:t xml:space="preserve"> S’il n’y a pas de raisons catégoriques, pourquoi y </w:t>
      </w:r>
      <w:r>
        <w:lastRenderedPageBreak/>
        <w:t>aurait-il des raisons hypothétiques</w:t>
      </w:r>
      <w:r>
        <w:rPr>
          <w:rFonts w:ascii="Times New Roman" w:hAnsi="Times New Roman" w:cs="Times New Roman"/>
        </w:rPr>
        <w:t> </w:t>
      </w:r>
      <w:r>
        <w:t>? Après tout, une raison catégorique est une raison hypothétique où l’antécédent est toujours satisfait</w:t>
      </w:r>
      <w:r>
        <w:rPr>
          <w:rFonts w:ascii="Times New Roman" w:hAnsi="Times New Roman" w:cs="Times New Roman"/>
        </w:rPr>
        <w:t> </w:t>
      </w:r>
      <w:r>
        <w:t xml:space="preserve">; par exemple, </w:t>
      </w:r>
      <w:r w:rsidRPr="00890CCF">
        <w:t>le fait que</w:t>
      </w:r>
      <w:r w:rsidRPr="00A2604C">
        <w:rPr>
          <w:i/>
          <w:iCs/>
        </w:rPr>
        <w:t xml:space="preserve"> si je suis un</w:t>
      </w:r>
      <w:r>
        <w:rPr>
          <w:i/>
          <w:iCs/>
        </w:rPr>
        <w:t>e personne</w:t>
      </w:r>
      <w:r w:rsidRPr="00A2604C">
        <w:rPr>
          <w:i/>
          <w:iCs/>
        </w:rPr>
        <w:t>, je dois être juste</w:t>
      </w:r>
      <w:r>
        <w:t>. De même, une raison hypothétique est une raison catégorique disjonctive</w:t>
      </w:r>
      <w:r>
        <w:rPr>
          <w:rFonts w:ascii="Times New Roman" w:hAnsi="Times New Roman" w:cs="Times New Roman"/>
        </w:rPr>
        <w:t> </w:t>
      </w:r>
      <w:r>
        <w:t xml:space="preserve">; par exemple, le fait que </w:t>
      </w:r>
      <w:r w:rsidRPr="00231CE6">
        <w:rPr>
          <w:i/>
          <w:iCs/>
        </w:rPr>
        <w:t>je dois ou bien ne pas désirer X, ou bien tenter d’obtenir X</w:t>
      </w:r>
      <w:r>
        <w:t>.</w:t>
      </w:r>
      <w:r w:rsidRPr="00AB7C7B">
        <w:rPr>
          <w:rStyle w:val="Appelnotedebasdep"/>
          <w:rFonts w:ascii="Times New Roman" w:hAnsi="Times New Roman" w:cs="Times New Roman"/>
        </w:rPr>
        <w:footnoteReference w:id="8"/>
      </w:r>
      <w:r>
        <w:t xml:space="preserve"> Qu’est-ce à dire des raisons prudentielles, qui tirent leur force de nos fins</w:t>
      </w:r>
      <w:r>
        <w:rPr>
          <w:rFonts w:ascii="Times New Roman" w:hAnsi="Times New Roman" w:cs="Times New Roman"/>
        </w:rPr>
        <w:t> </w:t>
      </w:r>
      <w:r>
        <w:t>? Elles dépendent aussi des raisons catégoriques, car ce ne sont vraiment des raisons que si les fins dont elles dépendent sont acceptables. Le fait que «</w:t>
      </w:r>
      <w:r>
        <w:rPr>
          <w:rFonts w:ascii="Times New Roman" w:hAnsi="Times New Roman" w:cs="Times New Roman"/>
        </w:rPr>
        <w:t> </w:t>
      </w:r>
      <w:r>
        <w:t>si je veux perdre la tête, je dois avaler de la javel</w:t>
      </w:r>
      <w:r>
        <w:rPr>
          <w:rFonts w:ascii="Times New Roman" w:hAnsi="Times New Roman" w:cs="Times New Roman"/>
        </w:rPr>
        <w:t> </w:t>
      </w:r>
      <w:r>
        <w:t>» ne constitue pas une raison prudentielle</w:t>
      </w:r>
      <w:r>
        <w:rPr>
          <w:rFonts w:ascii="Times New Roman" w:hAnsi="Times New Roman" w:cs="Times New Roman"/>
        </w:rPr>
        <w:t> </w:t>
      </w:r>
      <w:r>
        <w:t xml:space="preserve">; il ne fait qu’offrir une instruction. </w:t>
      </w:r>
      <w:r w:rsidRPr="00AC46AF">
        <w:t xml:space="preserve">Or, les théoriciens de l’erreur </w:t>
      </w:r>
      <w:r>
        <w:t xml:space="preserve">semblent tenir à une forme ou à une de raison, comme le suggèrent l’examen exhaustif de la question : </w:t>
      </w:r>
      <w:r w:rsidRPr="00AC46AF">
        <w:t>«</w:t>
      </w:r>
      <w:r>
        <w:rPr>
          <w:rFonts w:ascii="Times New Roman" w:hAnsi="Times New Roman" w:cs="Times New Roman"/>
        </w:rPr>
        <w:t> </w:t>
      </w:r>
      <w:r w:rsidRPr="00AC46AF">
        <w:t xml:space="preserve">que </w:t>
      </w:r>
      <w:r w:rsidRPr="00AC46AF">
        <w:rPr>
          <w:i/>
          <w:iCs/>
        </w:rPr>
        <w:t>devons</w:t>
      </w:r>
      <w:r w:rsidRPr="00AC46AF">
        <w:t>-nous faire de nos croyances morales</w:t>
      </w:r>
      <w:r>
        <w:rPr>
          <w:rFonts w:ascii="Times New Roman" w:hAnsi="Times New Roman" w:cs="Times New Roman"/>
        </w:rPr>
        <w:t> </w:t>
      </w:r>
      <w:r>
        <w:t>?</w:t>
      </w:r>
      <w:r>
        <w:rPr>
          <w:rFonts w:ascii="Times New Roman" w:hAnsi="Times New Roman" w:cs="Times New Roman"/>
        </w:rPr>
        <w:t> </w:t>
      </w:r>
      <w:r w:rsidRPr="00AC46AF">
        <w:t>» (</w:t>
      </w:r>
      <w:r>
        <w:rPr>
          <w:i/>
          <w:iCs/>
        </w:rPr>
        <w:t>Essai</w:t>
      </w:r>
      <w:r>
        <w:t>,</w:t>
      </w:r>
      <w:r>
        <w:rPr>
          <w:i/>
          <w:iCs/>
        </w:rPr>
        <w:t xml:space="preserve"> </w:t>
      </w:r>
      <w:r w:rsidRPr="00AC46AF">
        <w:t>p.</w:t>
      </w:r>
      <w:r>
        <w:t> </w:t>
      </w:r>
      <w:r w:rsidRPr="00AC46AF">
        <w:t>198).</w:t>
      </w:r>
    </w:p>
    <w:p w14:paraId="5604BEDE" w14:textId="77777777" w:rsidR="007B3030" w:rsidRDefault="007B3030" w:rsidP="007B3030">
      <w:pPr>
        <w:pStyle w:val="Corps"/>
      </w:pPr>
      <w:r>
        <w:t>L’</w:t>
      </w:r>
      <w:r>
        <w:rPr>
          <w:i/>
          <w:iCs/>
        </w:rPr>
        <w:t xml:space="preserve">Essai </w:t>
      </w:r>
      <w:r>
        <w:t>offre-t-il une meilleure défense de la théorie de l’erreur</w:t>
      </w:r>
      <w:r>
        <w:rPr>
          <w:rFonts w:ascii="Times New Roman" w:hAnsi="Times New Roman" w:cs="Times New Roman"/>
        </w:rPr>
        <w:t> </w:t>
      </w:r>
      <w:r>
        <w:t xml:space="preserve">? Même si une partie des arguments explorés par Turmel se retrouve chez Jaquet et </w:t>
      </w:r>
      <w:proofErr w:type="spellStart"/>
      <w:r>
        <w:t>Naar</w:t>
      </w:r>
      <w:proofErr w:type="spellEnd"/>
      <w:r>
        <w:t>, l’approche des deux essayistes est fondamentalement différente. La théorie de l’erreur est, selon eux, une théorie qu’on adopte en fin de parcours, après avoir rejeté ses concurrentes. (Il faudra, tout au plus, montrer qu’elle résiste à certaines objections.</w:t>
      </w:r>
      <w:r>
        <w:rPr>
          <w:rStyle w:val="Appelnotedebasdep"/>
          <w:rFonts w:ascii="Times New Roman" w:hAnsi="Times New Roman" w:cs="Times New Roman"/>
        </w:rPr>
        <w:footnoteReference w:id="9"/>
      </w:r>
      <w:r>
        <w:t xml:space="preserve">) La théorie de l’erreur serait, selon Jaquet et </w:t>
      </w:r>
      <w:proofErr w:type="spellStart"/>
      <w:r>
        <w:t>Naar</w:t>
      </w:r>
      <w:proofErr w:type="spellEnd"/>
      <w:r>
        <w:t>,</w:t>
      </w:r>
      <w:r w:rsidRPr="00AC46AF">
        <w:t xml:space="preserve"> l’une des rares championnes encore debout</w:t>
      </w:r>
      <w:r>
        <w:t xml:space="preserve"> à la fin du tournoi </w:t>
      </w:r>
      <w:proofErr w:type="spellStart"/>
      <w:r>
        <w:t>métaéthique</w:t>
      </w:r>
      <w:proofErr w:type="spellEnd"/>
      <w:r w:rsidRPr="00AC46AF">
        <w:t xml:space="preserve">. </w:t>
      </w:r>
    </w:p>
    <w:p w14:paraId="0F1B302E" w14:textId="77777777" w:rsidR="007B3030" w:rsidRDefault="007B3030" w:rsidP="007B3030">
      <w:pPr>
        <w:pStyle w:val="Corps"/>
      </w:pPr>
      <w:r w:rsidRPr="00AC46AF">
        <w:t xml:space="preserve">Cette approche originale a </w:t>
      </w:r>
      <w:r>
        <w:t>ses</w:t>
      </w:r>
      <w:r w:rsidRPr="00AC46AF">
        <w:t xml:space="preserve"> limites, car la valeur d’une théorie dépend toujours de celle de ses concurrentes. </w:t>
      </w:r>
      <w:r>
        <w:t xml:space="preserve">Ainsi il faut mesurer les failles d’une théorie comme le non-cognitivisme à l’aune de celles de la théorie de l’erreur. </w:t>
      </w:r>
      <w:r w:rsidRPr="00AC46AF">
        <w:t xml:space="preserve">Si, par exemple, on a cru que le non-cognitivisme se cassait les dents contre le problème de </w:t>
      </w:r>
      <w:r>
        <w:t>l’enchâssement</w:t>
      </w:r>
      <w:r w:rsidRPr="00AC46AF">
        <w:t xml:space="preserve"> (voir</w:t>
      </w:r>
      <w:r>
        <w:t xml:space="preserve"> plus</w:t>
      </w:r>
      <w:r w:rsidRPr="00AC46AF">
        <w:t xml:space="preserve"> haut), ce problème pourra être réexaminé à la lumière de la comparaison avec</w:t>
      </w:r>
      <w:r>
        <w:t xml:space="preserve"> la théorie de l’erreur</w:t>
      </w:r>
      <w:r w:rsidRPr="00AC46AF">
        <w:t>.</w:t>
      </w:r>
      <w:r>
        <w:t xml:space="preserve"> Plus généralement, bien que </w:t>
      </w:r>
      <w:proofErr w:type="spellStart"/>
      <w:r>
        <w:t>Naar</w:t>
      </w:r>
      <w:proofErr w:type="spellEnd"/>
      <w:r>
        <w:t xml:space="preserve"> et Jaquet révèlent de véritables problèmes chez chacune des théories passées en revue, ils ne sauraient nous faire contempler sérieusement la possibilité de souscrire à la théorie de l’erreur.</w:t>
      </w:r>
    </w:p>
    <w:p w14:paraId="194002F7" w14:textId="6D176DFE" w:rsidR="007B3030" w:rsidRPr="00C867A3" w:rsidRDefault="007B3030" w:rsidP="00C867A3">
      <w:pPr>
        <w:pStyle w:val="Corps"/>
      </w:pPr>
      <w:r w:rsidRPr="00AC46AF">
        <w:t xml:space="preserve">La lecture parallèle du </w:t>
      </w:r>
      <w:r w:rsidRPr="00AC46AF">
        <w:rPr>
          <w:i/>
          <w:iCs/>
        </w:rPr>
        <w:t xml:space="preserve">Manuel </w:t>
      </w:r>
      <w:r w:rsidRPr="00AC46AF">
        <w:t>et de l’</w:t>
      </w:r>
      <w:r w:rsidRPr="00AC46AF">
        <w:rPr>
          <w:i/>
          <w:iCs/>
        </w:rPr>
        <w:t>Essai</w:t>
      </w:r>
      <w:r w:rsidRPr="00AC46AF">
        <w:t xml:space="preserve"> se révèle pour une seconde fois fructueuse. D’une part, Turmel nous donne l’exposition la plus classique des raisons de souscrire à la théorie de l’erreur alors que </w:t>
      </w:r>
      <w:proofErr w:type="spellStart"/>
      <w:r w:rsidRPr="00AC46AF">
        <w:t>Naar</w:t>
      </w:r>
      <w:proofErr w:type="spellEnd"/>
      <w:r w:rsidRPr="00AC46AF">
        <w:t xml:space="preserve"> et Jaquet se penchent davantage sur </w:t>
      </w:r>
      <w:r>
        <w:t>des objections à la théorie</w:t>
      </w:r>
      <w:r w:rsidRPr="00AC46AF">
        <w:t xml:space="preserve">. D’autre part, l’étude des arguments en faveur de la théorie de l’erreur dans le </w:t>
      </w:r>
      <w:r w:rsidRPr="00AC46AF">
        <w:rPr>
          <w:i/>
          <w:iCs/>
        </w:rPr>
        <w:t xml:space="preserve">Manuel </w:t>
      </w:r>
      <w:r w:rsidRPr="00AC46AF">
        <w:t xml:space="preserve">met plus directement en lumière leur faiblesse et donc invite à une </w:t>
      </w:r>
      <w:r>
        <w:t>appréciation plus critique de la structure de l’</w:t>
      </w:r>
      <w:r>
        <w:rPr>
          <w:i/>
          <w:iCs/>
        </w:rPr>
        <w:t>Essai</w:t>
      </w:r>
      <w:r>
        <w:t>.</w:t>
      </w:r>
    </w:p>
    <w:p w14:paraId="47BE79AC" w14:textId="77777777" w:rsidR="00E75C6B" w:rsidRPr="00F77DEF" w:rsidRDefault="007B3030" w:rsidP="00F77DEF">
      <w:pPr>
        <w:pStyle w:val="Corps"/>
      </w:pPr>
      <w:r>
        <w:t>L</w:t>
      </w:r>
      <w:r w:rsidRPr="00AC46AF">
        <w:t xml:space="preserve">e </w:t>
      </w:r>
      <w:r w:rsidRPr="00AC46AF">
        <w:rPr>
          <w:i/>
          <w:iCs/>
        </w:rPr>
        <w:t xml:space="preserve">Manuel de </w:t>
      </w:r>
      <w:proofErr w:type="spellStart"/>
      <w:r w:rsidRPr="00AC46AF">
        <w:rPr>
          <w:i/>
          <w:iCs/>
        </w:rPr>
        <w:t>Métaéthique</w:t>
      </w:r>
      <w:proofErr w:type="spellEnd"/>
      <w:r w:rsidRPr="00AC46AF">
        <w:rPr>
          <w:i/>
          <w:iCs/>
        </w:rPr>
        <w:t xml:space="preserve"> </w:t>
      </w:r>
      <w:r w:rsidRPr="00AC46AF">
        <w:t xml:space="preserve">et </w:t>
      </w:r>
      <w:r w:rsidRPr="00AC46AF">
        <w:rPr>
          <w:i/>
          <w:iCs/>
        </w:rPr>
        <w:t>Qui peut sauver la morale</w:t>
      </w:r>
      <w:r>
        <w:rPr>
          <w:rFonts w:ascii="Times New Roman" w:hAnsi="Times New Roman" w:cs="Times New Roman"/>
          <w:i/>
          <w:iCs/>
        </w:rPr>
        <w:t> </w:t>
      </w:r>
      <w:r>
        <w:rPr>
          <w:i/>
          <w:iCs/>
        </w:rPr>
        <w:t>?</w:t>
      </w:r>
      <w:r w:rsidRPr="00AC46AF">
        <w:rPr>
          <w:i/>
          <w:iCs/>
        </w:rPr>
        <w:t xml:space="preserve"> </w:t>
      </w:r>
      <w:r w:rsidRPr="00AC46AF">
        <w:t>non seulement se compl</w:t>
      </w:r>
      <w:r>
        <w:t>ètent</w:t>
      </w:r>
      <w:r w:rsidRPr="00AC46AF">
        <w:t xml:space="preserve"> l’un l’autre, mais éclair</w:t>
      </w:r>
      <w:r>
        <w:t>ent</w:t>
      </w:r>
      <w:r w:rsidRPr="00AC46AF">
        <w:t xml:space="preserve"> leurs problèmes respectifs. </w:t>
      </w:r>
      <w:r>
        <w:t>C</w:t>
      </w:r>
      <w:r w:rsidRPr="00AC46AF">
        <w:t xml:space="preserve">es problèmes sont surtout le signe que les débats </w:t>
      </w:r>
      <w:r>
        <w:t>qui occupent les</w:t>
      </w:r>
      <w:r w:rsidRPr="00AC46AF">
        <w:t xml:space="preserve"> deux livres sont riches et brillamment présentés. </w:t>
      </w:r>
      <w:r>
        <w:t>L</w:t>
      </w:r>
      <w:r w:rsidRPr="00AC46AF">
        <w:t>’</w:t>
      </w:r>
      <w:r w:rsidRPr="00AC46AF">
        <w:rPr>
          <w:i/>
          <w:iCs/>
        </w:rPr>
        <w:t>Essai</w:t>
      </w:r>
      <w:r w:rsidRPr="00AC46AF">
        <w:t xml:space="preserve"> et le</w:t>
      </w:r>
      <w:r w:rsidRPr="00AC46AF">
        <w:rPr>
          <w:i/>
          <w:iCs/>
        </w:rPr>
        <w:t xml:space="preserve"> Manuel </w:t>
      </w:r>
      <w:r w:rsidRPr="00AC46AF">
        <w:lastRenderedPageBreak/>
        <w:t xml:space="preserve">composent un arsenal pédagogique tout à fait captivant, en même temps qu’une </w:t>
      </w:r>
      <w:r>
        <w:t xml:space="preserve">belle </w:t>
      </w:r>
      <w:r w:rsidRPr="00AC46AF">
        <w:t xml:space="preserve">occasion pour le chercheur francophone de prendre le pouls de la </w:t>
      </w:r>
      <w:proofErr w:type="spellStart"/>
      <w:r w:rsidRPr="00AC46AF">
        <w:t>métaéthique</w:t>
      </w:r>
      <w:proofErr w:type="spellEnd"/>
      <w:r w:rsidRPr="00AC46AF">
        <w:t xml:space="preserve"> contemporaine.</w:t>
      </w:r>
    </w:p>
    <w:p w14:paraId="714EA14F" w14:textId="7B6BAEA2" w:rsidR="0063372A" w:rsidRDefault="0063372A" w:rsidP="0063372A">
      <w:pPr>
        <w:pStyle w:val="VDIdate"/>
      </w:pPr>
      <w:r>
        <w:t>Publié dans lavi</w:t>
      </w:r>
      <w:r w:rsidR="006E7A74">
        <w:t>e</w:t>
      </w:r>
      <w:r>
        <w:t xml:space="preserve">desidees.fr, le </w:t>
      </w:r>
      <w:r w:rsidR="00C867A3">
        <w:t xml:space="preserve">30 </w:t>
      </w:r>
      <w:r w:rsidR="00F77DEF">
        <w:t>décembre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C242" w14:textId="77777777" w:rsidR="002120B5" w:rsidRDefault="002120B5">
      <w:r>
        <w:separator/>
      </w:r>
    </w:p>
  </w:endnote>
  <w:endnote w:type="continuationSeparator" w:id="0">
    <w:p w14:paraId="5EB6B2BE" w14:textId="77777777" w:rsidR="002120B5" w:rsidRDefault="0021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embo">
    <w:panose1 w:val="02020502050201020203"/>
    <w:charset w:val="00"/>
    <w:family w:val="roman"/>
    <w:pitch w:val="variable"/>
    <w:sig w:usb0="8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eorgia">
    <w:altName w:val="﷽﷽﷽﷽﷽﷽﷽﷽潤硣"/>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1B0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5E703" w14:textId="77777777" w:rsidR="002120B5" w:rsidRDefault="002120B5">
      <w:r>
        <w:separator/>
      </w:r>
    </w:p>
  </w:footnote>
  <w:footnote w:type="continuationSeparator" w:id="0">
    <w:p w14:paraId="1E9A5007" w14:textId="77777777" w:rsidR="002120B5" w:rsidRDefault="002120B5">
      <w:r>
        <w:continuationSeparator/>
      </w:r>
    </w:p>
  </w:footnote>
  <w:footnote w:id="1">
    <w:p w14:paraId="0F9F7B5A" w14:textId="77777777" w:rsidR="007B3030" w:rsidRPr="008F7C32" w:rsidRDefault="007B3030" w:rsidP="00F77DEF">
      <w:pPr>
        <w:pStyle w:val="Notedebasdepage"/>
        <w:rPr>
          <w:lang w:val="en-GB"/>
        </w:rPr>
      </w:pPr>
      <w:r w:rsidRPr="009061EB">
        <w:rPr>
          <w:rStyle w:val="Appelnotedebasdep"/>
          <w:rFonts w:ascii="Times New Roman" w:hAnsi="Times New Roman"/>
          <w:szCs w:val="22"/>
        </w:rPr>
        <w:footnoteRef/>
      </w:r>
      <w:r w:rsidRPr="008F7C32">
        <w:rPr>
          <w:lang w:val="en-GB"/>
        </w:rPr>
        <w:t xml:space="preserve"> </w:t>
      </w:r>
      <w:proofErr w:type="spellStart"/>
      <w:r w:rsidRPr="008F7C32">
        <w:rPr>
          <w:lang w:val="en-GB"/>
        </w:rPr>
        <w:t>Traduction</w:t>
      </w:r>
      <w:proofErr w:type="spellEnd"/>
      <w:r w:rsidRPr="008F7C32">
        <w:rPr>
          <w:lang w:val="en-GB"/>
        </w:rPr>
        <w:t xml:space="preserve"> libre </w:t>
      </w:r>
      <w:r>
        <w:rPr>
          <w:lang w:val="en-GB"/>
        </w:rPr>
        <w:t xml:space="preserve">d’un passage de </w:t>
      </w:r>
      <w:r w:rsidRPr="008F7C32">
        <w:rPr>
          <w:lang w:val="en-GB"/>
        </w:rPr>
        <w:t xml:space="preserve">Thomas </w:t>
      </w:r>
      <w:r w:rsidRPr="00E340B5">
        <w:rPr>
          <w:lang w:val="en-US"/>
        </w:rPr>
        <w:t>Nagel</w:t>
      </w:r>
      <w:r w:rsidRPr="008F7C32">
        <w:rPr>
          <w:lang w:val="en-GB"/>
        </w:rPr>
        <w:t xml:space="preserve">, </w:t>
      </w:r>
      <w:r w:rsidRPr="008F7C32">
        <w:rPr>
          <w:i/>
          <w:iCs/>
          <w:lang w:val="en-GB"/>
        </w:rPr>
        <w:t xml:space="preserve">What </w:t>
      </w:r>
      <w:r>
        <w:rPr>
          <w:i/>
          <w:iCs/>
          <w:lang w:val="en-GB"/>
        </w:rPr>
        <w:t>D</w:t>
      </w:r>
      <w:r w:rsidRPr="008F7C32">
        <w:rPr>
          <w:i/>
          <w:iCs/>
          <w:lang w:val="en-GB"/>
        </w:rPr>
        <w:t xml:space="preserve">oes </w:t>
      </w:r>
      <w:r>
        <w:rPr>
          <w:i/>
          <w:iCs/>
          <w:lang w:val="en-GB"/>
        </w:rPr>
        <w:t>I</w:t>
      </w:r>
      <w:r w:rsidRPr="008F7C32">
        <w:rPr>
          <w:i/>
          <w:iCs/>
          <w:lang w:val="en-GB"/>
        </w:rPr>
        <w:t>t All Mean: A Very Short Introduction to Philosophy</w:t>
      </w:r>
      <w:r w:rsidRPr="008F7C32">
        <w:rPr>
          <w:lang w:val="en-GB"/>
        </w:rPr>
        <w:t xml:space="preserve">, </w:t>
      </w:r>
      <w:r>
        <w:rPr>
          <w:lang w:val="en-GB"/>
        </w:rPr>
        <w:t xml:space="preserve">OUP, 1987, </w:t>
      </w:r>
      <w:r w:rsidRPr="008F7C32">
        <w:rPr>
          <w:lang w:val="en-GB"/>
        </w:rPr>
        <w:t>p. 6.</w:t>
      </w:r>
    </w:p>
  </w:footnote>
  <w:footnote w:id="2">
    <w:p w14:paraId="744BDE92" w14:textId="77777777" w:rsidR="007B3030" w:rsidRPr="008F7C32" w:rsidRDefault="007B3030" w:rsidP="00F77DEF">
      <w:pPr>
        <w:pStyle w:val="Notedebasdepage"/>
      </w:pPr>
      <w:r w:rsidRPr="00AB7C7B">
        <w:rPr>
          <w:rStyle w:val="Appelnotedebasdep"/>
          <w:rFonts w:ascii="Times New Roman" w:hAnsi="Times New Roman"/>
          <w:szCs w:val="22"/>
        </w:rPr>
        <w:footnoteRef/>
      </w:r>
      <w:r w:rsidRPr="008F7C32">
        <w:t xml:space="preserve"> Pour une recension plus englobante du </w:t>
      </w:r>
      <w:r w:rsidRPr="008F7C32">
        <w:rPr>
          <w:i/>
          <w:iCs/>
        </w:rPr>
        <w:t>Manuel</w:t>
      </w:r>
      <w:r w:rsidRPr="008F7C32">
        <w:t>, voir Samuel Lépine, «</w:t>
      </w:r>
      <w:r w:rsidRPr="008F7C32">
        <w:rPr>
          <w:rFonts w:ascii="Times New Roman" w:hAnsi="Times New Roman"/>
        </w:rPr>
        <w:t> </w:t>
      </w:r>
      <w:r w:rsidRPr="008F7C32">
        <w:t xml:space="preserve">Manuel de </w:t>
      </w:r>
      <w:proofErr w:type="spellStart"/>
      <w:r w:rsidRPr="00F77DEF">
        <w:t>métaéthique</w:t>
      </w:r>
      <w:proofErr w:type="spellEnd"/>
      <w:r w:rsidRPr="008F7C32">
        <w:rPr>
          <w:rFonts w:ascii="Times New Roman" w:hAnsi="Times New Roman"/>
        </w:rPr>
        <w:t> </w:t>
      </w:r>
      <w:r w:rsidRPr="008F7C32">
        <w:t xml:space="preserve">», </w:t>
      </w:r>
      <w:r w:rsidRPr="008F7C32">
        <w:rPr>
          <w:i/>
          <w:iCs/>
        </w:rPr>
        <w:t xml:space="preserve">Le </w:t>
      </w:r>
      <w:proofErr w:type="spellStart"/>
      <w:r w:rsidRPr="008F7C32">
        <w:rPr>
          <w:i/>
          <w:iCs/>
        </w:rPr>
        <w:t>Philosophoire</w:t>
      </w:r>
      <w:proofErr w:type="spellEnd"/>
      <w:r w:rsidRPr="008F7C32">
        <w:t xml:space="preserve"> 53, 1</w:t>
      </w:r>
      <w:r>
        <w:t xml:space="preserve">, </w:t>
      </w:r>
      <w:r w:rsidRPr="008F7C32">
        <w:t>2020</w:t>
      </w:r>
      <w:r>
        <w:t>,</w:t>
      </w:r>
      <w:r w:rsidRPr="008F7C32">
        <w:t xml:space="preserve"> </w:t>
      </w:r>
      <w:r>
        <w:t>p. </w:t>
      </w:r>
      <w:r w:rsidRPr="008F7C32">
        <w:t>151</w:t>
      </w:r>
      <w:r w:rsidRPr="008F7C32">
        <w:rPr>
          <w:rFonts w:ascii="Cambria Math" w:hAnsi="Cambria Math" w:cs="Cambria Math"/>
        </w:rPr>
        <w:t>‑</w:t>
      </w:r>
      <w:r w:rsidRPr="008F7C32">
        <w:t>55.</w:t>
      </w:r>
    </w:p>
  </w:footnote>
  <w:footnote w:id="3">
    <w:p w14:paraId="1DA66DB1" w14:textId="77777777" w:rsidR="007B3030" w:rsidRPr="0072439F" w:rsidRDefault="007B3030" w:rsidP="00F77DEF">
      <w:pPr>
        <w:pStyle w:val="Notedebasdepage"/>
      </w:pPr>
      <w:r w:rsidRPr="00AB7C7B">
        <w:rPr>
          <w:rStyle w:val="Appelnotedebasdep"/>
          <w:rFonts w:ascii="Times New Roman" w:hAnsi="Times New Roman"/>
        </w:rPr>
        <w:footnoteRef/>
      </w:r>
      <w:r w:rsidRPr="0072439F">
        <w:t xml:space="preserve"> Todd avance aussi que le non-cognitivisme explique pourquoi il y aurait un fossé entre «</w:t>
      </w:r>
      <w:r>
        <w:rPr>
          <w:rFonts w:ascii="Times New Roman" w:hAnsi="Times New Roman"/>
        </w:rPr>
        <w:t> </w:t>
      </w:r>
      <w:r w:rsidRPr="0072439F">
        <w:t>devoir</w:t>
      </w:r>
      <w:r>
        <w:rPr>
          <w:rFonts w:ascii="Times New Roman" w:hAnsi="Times New Roman"/>
        </w:rPr>
        <w:t> </w:t>
      </w:r>
      <w:r w:rsidRPr="0072439F">
        <w:t>» et «</w:t>
      </w:r>
      <w:r>
        <w:rPr>
          <w:rFonts w:ascii="Times New Roman" w:hAnsi="Times New Roman"/>
        </w:rPr>
        <w:t> </w:t>
      </w:r>
      <w:r w:rsidRPr="0072439F">
        <w:t>être</w:t>
      </w:r>
      <w:r>
        <w:rPr>
          <w:rFonts w:ascii="Times New Roman" w:hAnsi="Times New Roman"/>
        </w:rPr>
        <w:t> </w:t>
      </w:r>
      <w:r w:rsidRPr="0072439F">
        <w:t>», un fossé mis au jour par Hume, à qui on attribue souvent une forme de non-</w:t>
      </w:r>
      <w:r w:rsidRPr="00F77DEF">
        <w:t>cognitivisme</w:t>
      </w:r>
      <w:r w:rsidRPr="0072439F">
        <w:t>.</w:t>
      </w:r>
      <w:r>
        <w:t xml:space="preserve"> Cependant, on n’a pas besoin du non-cognitivisme pour expliquer ce fossé : on n’a qu’à remarquer que les faits moraux, s’ils étaient descriptifs, ne pourraient pas être réduits de façon informative à des énoncés non moraux.</w:t>
      </w:r>
    </w:p>
  </w:footnote>
  <w:footnote w:id="4">
    <w:p w14:paraId="14CAF373" w14:textId="77777777" w:rsidR="007B3030" w:rsidRPr="008F7C32" w:rsidRDefault="007B3030" w:rsidP="00F77DEF">
      <w:pPr>
        <w:pStyle w:val="Notedebasdepage"/>
        <w:rPr>
          <w:lang w:val="en-GB"/>
        </w:rPr>
      </w:pPr>
      <w:r w:rsidRPr="00AB7C7B">
        <w:rPr>
          <w:rStyle w:val="Appelnotedebasdep"/>
          <w:rFonts w:ascii="Times New Roman" w:hAnsi="Times New Roman"/>
        </w:rPr>
        <w:footnoteRef/>
      </w:r>
      <w:r w:rsidRPr="00E54BAB">
        <w:rPr>
          <w:lang w:val="en-US"/>
        </w:rPr>
        <w:t xml:space="preserve"> Blackburn, Simon</w:t>
      </w:r>
      <w:r w:rsidRPr="00F77DEF">
        <w:rPr>
          <w:i/>
          <w:iCs/>
          <w:lang w:val="en-US"/>
        </w:rPr>
        <w:t xml:space="preserve">. </w:t>
      </w:r>
      <w:r w:rsidRPr="00F77DEF">
        <w:rPr>
          <w:i/>
          <w:iCs/>
          <w:lang w:val="en-GB"/>
        </w:rPr>
        <w:t xml:space="preserve">Spreading the Word: Groundings in </w:t>
      </w:r>
      <w:r w:rsidRPr="00E340B5">
        <w:rPr>
          <w:i/>
          <w:iCs/>
          <w:lang w:val="en-US"/>
        </w:rPr>
        <w:t>the</w:t>
      </w:r>
      <w:r w:rsidRPr="00F77DEF">
        <w:rPr>
          <w:i/>
          <w:iCs/>
          <w:lang w:val="en-GB"/>
        </w:rPr>
        <w:t xml:space="preserve"> Philosophy of Language</w:t>
      </w:r>
      <w:r>
        <w:rPr>
          <w:lang w:val="en-GB"/>
        </w:rPr>
        <w:t>,</w:t>
      </w:r>
      <w:r w:rsidRPr="008F7C32">
        <w:rPr>
          <w:lang w:val="en-GB"/>
        </w:rPr>
        <w:t xml:space="preserve"> Clarendon Press, 1984.</w:t>
      </w:r>
    </w:p>
  </w:footnote>
  <w:footnote w:id="5">
    <w:p w14:paraId="48EA3594" w14:textId="77777777" w:rsidR="007B3030" w:rsidRPr="00B963F9" w:rsidRDefault="007B3030" w:rsidP="00F77DEF">
      <w:pPr>
        <w:pStyle w:val="Notedebasdepage"/>
      </w:pPr>
      <w:r w:rsidRPr="00B963F9">
        <w:rPr>
          <w:rStyle w:val="Appelnotedebasdep"/>
          <w:rFonts w:ascii="Times New Roman" w:hAnsi="Times New Roman"/>
        </w:rPr>
        <w:footnoteRef/>
      </w:r>
      <w:r w:rsidRPr="00B963F9">
        <w:t xml:space="preserve"> « Tous les grands événements et personnages de l’histoire du monde se </w:t>
      </w:r>
      <w:r w:rsidRPr="00F77DEF">
        <w:t>produisent</w:t>
      </w:r>
      <w:r w:rsidRPr="00B963F9">
        <w:t xml:space="preserve"> pour ainsi dire deux fois… la première fois comme une grande tragédie, la seconde fois comme une farce sordide… » (traduction </w:t>
      </w:r>
      <w:proofErr w:type="spellStart"/>
      <w:r w:rsidRPr="00B963F9">
        <w:t>Assoun</w:t>
      </w:r>
      <w:proofErr w:type="spellEnd"/>
      <w:r w:rsidRPr="00B963F9">
        <w:t xml:space="preserve">), Karl Marx, </w:t>
      </w:r>
      <w:r w:rsidRPr="00B963F9">
        <w:rPr>
          <w:i/>
          <w:iCs/>
        </w:rPr>
        <w:t>Le 18 Brumaire de Louis Bonaparte</w:t>
      </w:r>
      <w:r w:rsidRPr="00B963F9">
        <w:t>.</w:t>
      </w:r>
    </w:p>
  </w:footnote>
  <w:footnote w:id="6">
    <w:p w14:paraId="5C164E73" w14:textId="77777777" w:rsidR="007B3030" w:rsidRPr="008F7C32" w:rsidRDefault="007B3030" w:rsidP="007B3030">
      <w:pPr>
        <w:pStyle w:val="Notedebasdepage"/>
        <w:rPr>
          <w:rFonts w:ascii="Times New Roman" w:hAnsi="Times New Roman"/>
          <w:szCs w:val="22"/>
        </w:rPr>
      </w:pPr>
      <w:r w:rsidRPr="00AB7C7B">
        <w:rPr>
          <w:rStyle w:val="Appelnotedebasdep"/>
          <w:rFonts w:ascii="Times New Roman" w:hAnsi="Times New Roman"/>
          <w:szCs w:val="22"/>
        </w:rPr>
        <w:footnoteRef/>
      </w:r>
      <w:r w:rsidRPr="008F7C32">
        <w:rPr>
          <w:rFonts w:ascii="Times New Roman" w:hAnsi="Times New Roman"/>
          <w:szCs w:val="22"/>
        </w:rPr>
        <w:t xml:space="preserve"> On trouvera toutes ces options dans Julien </w:t>
      </w:r>
      <w:proofErr w:type="spellStart"/>
      <w:r w:rsidRPr="008F7C32">
        <w:rPr>
          <w:rFonts w:ascii="Times New Roman" w:hAnsi="Times New Roman"/>
          <w:szCs w:val="22"/>
        </w:rPr>
        <w:t>Dutant</w:t>
      </w:r>
      <w:proofErr w:type="spellEnd"/>
      <w:r w:rsidRPr="008F7C32">
        <w:rPr>
          <w:rFonts w:ascii="Times New Roman" w:hAnsi="Times New Roman"/>
          <w:szCs w:val="22"/>
        </w:rPr>
        <w:t xml:space="preserve"> et Pascal Engel, </w:t>
      </w:r>
      <w:r w:rsidRPr="00AB7C7B">
        <w:rPr>
          <w:rFonts w:ascii="Times New Roman" w:hAnsi="Times New Roman"/>
          <w:i/>
          <w:iCs/>
          <w:szCs w:val="22"/>
        </w:rPr>
        <w:t>Philosophie de la connaissance</w:t>
      </w:r>
      <w:r w:rsidRPr="008F7C32">
        <w:rPr>
          <w:rFonts w:ascii="Times New Roman" w:hAnsi="Times New Roman"/>
          <w:szCs w:val="22"/>
        </w:rPr>
        <w:t xml:space="preserve">, </w:t>
      </w:r>
      <w:proofErr w:type="spellStart"/>
      <w:r w:rsidRPr="008F7C32">
        <w:rPr>
          <w:rFonts w:ascii="Times New Roman" w:hAnsi="Times New Roman"/>
          <w:szCs w:val="22"/>
        </w:rPr>
        <w:t>Vrin</w:t>
      </w:r>
      <w:proofErr w:type="spellEnd"/>
      <w:r w:rsidRPr="008F7C32">
        <w:rPr>
          <w:rFonts w:ascii="Times New Roman" w:hAnsi="Times New Roman"/>
          <w:szCs w:val="22"/>
        </w:rPr>
        <w:t>, 2005.</w:t>
      </w:r>
    </w:p>
  </w:footnote>
  <w:footnote w:id="7">
    <w:p w14:paraId="5ECC69E4" w14:textId="77777777" w:rsidR="007B3030" w:rsidRPr="00E340B5" w:rsidRDefault="007B3030" w:rsidP="00F77DEF">
      <w:pPr>
        <w:pStyle w:val="Notedebasdepage"/>
        <w:rPr>
          <w:lang w:val="en-US"/>
        </w:rPr>
      </w:pPr>
      <w:r w:rsidRPr="00AB7C7B">
        <w:rPr>
          <w:rStyle w:val="Appelnotedebasdep"/>
          <w:rFonts w:ascii="Times New Roman" w:hAnsi="Times New Roman"/>
          <w:szCs w:val="22"/>
        </w:rPr>
        <w:footnoteRef/>
      </w:r>
      <w:r w:rsidRPr="008F7C32">
        <w:rPr>
          <w:lang w:val="en-GB"/>
        </w:rPr>
        <w:t xml:space="preserve"> </w:t>
      </w:r>
      <w:proofErr w:type="spellStart"/>
      <w:r w:rsidRPr="008F7C32">
        <w:rPr>
          <w:lang w:val="en-GB"/>
        </w:rPr>
        <w:t>Voir</w:t>
      </w:r>
      <w:proofErr w:type="spellEnd"/>
      <w:r w:rsidRPr="008F7C32">
        <w:rPr>
          <w:lang w:val="en-GB"/>
        </w:rPr>
        <w:t xml:space="preserve"> Spencer Case, «</w:t>
      </w:r>
      <w:r>
        <w:rPr>
          <w:rFonts w:ascii="Times New Roman" w:hAnsi="Times New Roman"/>
          <w:lang w:val="en-GB"/>
        </w:rPr>
        <w:t> </w:t>
      </w:r>
      <w:r w:rsidRPr="008F7C32">
        <w:rPr>
          <w:lang w:val="en-GB"/>
        </w:rPr>
        <w:t>The Normative Error Theorist Cannot Avoid Self-Defeat</w:t>
      </w:r>
      <w:r>
        <w:rPr>
          <w:rFonts w:ascii="Times New Roman" w:hAnsi="Times New Roman"/>
          <w:lang w:val="en-GB"/>
        </w:rPr>
        <w:t> </w:t>
      </w:r>
      <w:r w:rsidRPr="008F7C32">
        <w:rPr>
          <w:lang w:val="en-GB"/>
        </w:rPr>
        <w:t xml:space="preserve">», </w:t>
      </w:r>
      <w:r w:rsidRPr="008F7C32">
        <w:rPr>
          <w:i/>
          <w:iCs/>
          <w:lang w:val="en-GB"/>
        </w:rPr>
        <w:t>Australasian Journal of Philosophy</w:t>
      </w:r>
      <w:r w:rsidRPr="008F7C32">
        <w:rPr>
          <w:lang w:val="en-GB"/>
        </w:rPr>
        <w:t>, 2019, 1</w:t>
      </w:r>
      <w:r w:rsidRPr="008F7C32">
        <w:rPr>
          <w:rFonts w:ascii="Cambria Math" w:hAnsi="Cambria Math" w:cs="Cambria Math"/>
          <w:lang w:val="en-GB"/>
        </w:rPr>
        <w:t>‑</w:t>
      </w:r>
      <w:r w:rsidRPr="008F7C32">
        <w:rPr>
          <w:lang w:val="en-GB"/>
        </w:rPr>
        <w:t>13.</w:t>
      </w:r>
    </w:p>
  </w:footnote>
  <w:footnote w:id="8">
    <w:p w14:paraId="6307410B" w14:textId="77777777" w:rsidR="007B3030" w:rsidRPr="008F7C32" w:rsidRDefault="007B3030" w:rsidP="00F77DEF">
      <w:pPr>
        <w:pStyle w:val="Notedebasdepage"/>
      </w:pPr>
      <w:r w:rsidRPr="00AB7C7B">
        <w:rPr>
          <w:rStyle w:val="Appelnotedebasdep"/>
          <w:rFonts w:ascii="Times New Roman" w:hAnsi="Times New Roman"/>
        </w:rPr>
        <w:footnoteRef/>
      </w:r>
      <w:r w:rsidRPr="008F7C32">
        <w:t xml:space="preserve"> De la même manière, </w:t>
      </w:r>
      <w:r>
        <w:t>toute raison catégorique peut être ainsi exprimée.</w:t>
      </w:r>
    </w:p>
  </w:footnote>
  <w:footnote w:id="9">
    <w:p w14:paraId="28572E72" w14:textId="77777777" w:rsidR="007B3030" w:rsidRPr="00FD7376" w:rsidRDefault="007B3030" w:rsidP="00F77DEF">
      <w:pPr>
        <w:pStyle w:val="Notedebasdepage"/>
      </w:pPr>
      <w:r w:rsidRPr="00703E61">
        <w:rPr>
          <w:rStyle w:val="Appelnotedebasdep"/>
          <w:sz w:val="22"/>
        </w:rPr>
        <w:footnoteRef/>
      </w:r>
      <w:r w:rsidRPr="00703E61">
        <w:t xml:space="preserve"> Par exemple </w:t>
      </w:r>
      <w:r>
        <w:t>«</w:t>
      </w:r>
      <w:r>
        <w:rPr>
          <w:rFonts w:ascii="Times New Roman" w:hAnsi="Times New Roman"/>
        </w:rPr>
        <w:t> </w:t>
      </w:r>
      <w:r w:rsidRPr="00703E61">
        <w:t>Brûler un chat pour s’amuser est injuste.</w:t>
      </w:r>
      <w:r>
        <w:t xml:space="preserve"> Donc,</w:t>
      </w:r>
      <w:r w:rsidRPr="00703E61">
        <w:t xml:space="preserve"> certains jugements moraux sont vrais (et donc la théorie de l’erreur est fausse).</w:t>
      </w:r>
      <w:r>
        <w:rPr>
          <w:rFonts w:ascii="Times New Roman" w:hAnsi="Times New Roman"/>
        </w:rPr>
        <w:t> </w:t>
      </w:r>
      <w:r>
        <w:t xml:space="preserve">» </w:t>
      </w:r>
      <w:r w:rsidRPr="00703E61">
        <w:t xml:space="preserve">Jaquet et </w:t>
      </w:r>
      <w:proofErr w:type="spellStart"/>
      <w:r w:rsidRPr="00703E61">
        <w:t>Naar</w:t>
      </w:r>
      <w:proofErr w:type="spellEnd"/>
      <w:r w:rsidRPr="00703E61">
        <w:t xml:space="preserve"> montrent que la bonne façon de repousser cet argument «</w:t>
      </w:r>
      <w:r>
        <w:rPr>
          <w:rFonts w:ascii="Times New Roman" w:hAnsi="Times New Roman"/>
        </w:rPr>
        <w:t> </w:t>
      </w:r>
      <w:r w:rsidRPr="00703E61">
        <w:t>dogmatique</w:t>
      </w:r>
      <w:r>
        <w:rPr>
          <w:rFonts w:ascii="Times New Roman" w:hAnsi="Times New Roman"/>
        </w:rPr>
        <w:t> </w:t>
      </w:r>
      <w:r w:rsidRPr="00703E61">
        <w:t>»</w:t>
      </w:r>
      <w:r w:rsidRPr="00703E61">
        <w:rPr>
          <w:rStyle w:val="Appelnotedebasdep"/>
          <w:rFonts w:ascii="Times New Roman" w:hAnsi="Times New Roman"/>
          <w:sz w:val="22"/>
        </w:rPr>
        <w:t xml:space="preserve"> </w:t>
      </w:r>
      <w:r w:rsidRPr="00703E61">
        <w:t xml:space="preserve">est indirecte : il ne faut pas tenter de montrer que la prémisse est fausse, mais que nos raisons d’y croire sont discutables. </w:t>
      </w:r>
      <w:r>
        <w:t>Voir aussi</w:t>
      </w:r>
      <w:r w:rsidRPr="00703E61">
        <w:t xml:space="preserve"> Simon-Pierre </w:t>
      </w:r>
      <w:proofErr w:type="spellStart"/>
      <w:r w:rsidRPr="00703E61">
        <w:t>Chevarie</w:t>
      </w:r>
      <w:proofErr w:type="spellEnd"/>
      <w:r w:rsidRPr="00703E61">
        <w:t>-Cossette, «</w:t>
      </w:r>
      <w:r w:rsidRPr="00703E61">
        <w:rPr>
          <w:rFonts w:ascii="Times New Roman" w:hAnsi="Times New Roman"/>
        </w:rPr>
        <w:t> </w:t>
      </w:r>
      <w:r w:rsidRPr="00703E61">
        <w:t>Connaissance morale et dogmatisme</w:t>
      </w:r>
      <w:r w:rsidRPr="00703E61">
        <w:rPr>
          <w:rFonts w:ascii="Times New Roman" w:hAnsi="Times New Roman"/>
        </w:rPr>
        <w:t> </w:t>
      </w:r>
      <w:r w:rsidRPr="00703E61">
        <w:t xml:space="preserve">», </w:t>
      </w:r>
      <w:r w:rsidRPr="00703E61">
        <w:rPr>
          <w:i/>
          <w:iCs/>
        </w:rPr>
        <w:t>Les ateliers de l’éthique</w:t>
      </w:r>
      <w:r w:rsidRPr="00703E61">
        <w:t>, 14, 2019, 48–77.</w:t>
      </w:r>
      <w:r>
        <w:t xml:space="preserve"> (</w:t>
      </w:r>
      <w:proofErr w:type="gramStart"/>
      <w:r w:rsidRPr="00CB0B8A">
        <w:t>https://www.erudit.org/fr/revues/ateliers/2019-v14-n1-ateliers05339/1069951ar/</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130B" w14:textId="77777777" w:rsidR="007A1268" w:rsidRDefault="007A1268" w:rsidP="007A1268">
    <w:pPr>
      <w:pStyle w:val="En-tte"/>
      <w:jc w:val="both"/>
    </w:pPr>
    <w:r w:rsidRPr="007A1268">
      <w:rPr>
        <w:noProof/>
      </w:rPr>
      <w:drawing>
        <wp:inline distT="0" distB="0" distL="0" distR="0" wp14:anchorId="14D2F0A0" wp14:editId="7B65E8C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391A77"/>
    <w:multiLevelType w:val="hybridMultilevel"/>
    <w:tmpl w:val="8C52BD3C"/>
    <w:lvl w:ilvl="0" w:tplc="1A6AAD36">
      <w:start w:val="96"/>
      <w:numFmt w:val="bullet"/>
      <w:lvlText w:val="-"/>
      <w:lvlJc w:val="left"/>
      <w:pPr>
        <w:ind w:left="720" w:hanging="360"/>
      </w:pPr>
      <w:rPr>
        <w:rFonts w:ascii="Bembo" w:eastAsiaTheme="minorHAnsi" w:hAnsi="Bembo" w:cstheme="minorBid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14D88"/>
    <w:rsid w:val="001264AC"/>
    <w:rsid w:val="00167486"/>
    <w:rsid w:val="001A60CD"/>
    <w:rsid w:val="001B22FA"/>
    <w:rsid w:val="001C0661"/>
    <w:rsid w:val="001E233F"/>
    <w:rsid w:val="001E4C4E"/>
    <w:rsid w:val="001F2932"/>
    <w:rsid w:val="002120B5"/>
    <w:rsid w:val="00235E33"/>
    <w:rsid w:val="0028766C"/>
    <w:rsid w:val="00316345"/>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3030"/>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867A3"/>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E227E"/>
    <w:rsid w:val="00DF040B"/>
    <w:rsid w:val="00DF1D51"/>
    <w:rsid w:val="00DF54FA"/>
    <w:rsid w:val="00E213B0"/>
    <w:rsid w:val="00E248D4"/>
    <w:rsid w:val="00E340B5"/>
    <w:rsid w:val="00E623AC"/>
    <w:rsid w:val="00E64949"/>
    <w:rsid w:val="00E75C6B"/>
    <w:rsid w:val="00E82115"/>
    <w:rsid w:val="00E957F2"/>
    <w:rsid w:val="00ED5C35"/>
    <w:rsid w:val="00EE1383"/>
    <w:rsid w:val="00F0353B"/>
    <w:rsid w:val="00F049B7"/>
    <w:rsid w:val="00F43C5F"/>
    <w:rsid w:val="00F607AA"/>
    <w:rsid w:val="00F70913"/>
    <w:rsid w:val="00F77DEF"/>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9B6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7B3030"/>
    <w:pPr>
      <w:keepNext/>
      <w:keepLines/>
      <w:spacing w:before="240" w:line="276" w:lineRule="auto"/>
      <w:jc w:val="center"/>
      <w:outlineLvl w:val="0"/>
    </w:pPr>
    <w:rPr>
      <w:rFonts w:ascii="Georgia" w:eastAsiaTheme="majorEastAsia" w:hAnsi="Georgia" w:cstheme="majorBidi"/>
      <w:smallCaps/>
      <w:sz w:val="32"/>
      <w:szCs w:val="32"/>
      <w:lang w:val="fr-CA"/>
    </w:rPr>
  </w:style>
  <w:style w:type="paragraph" w:styleId="Titre2">
    <w:name w:val="heading 2"/>
    <w:basedOn w:val="Normal"/>
    <w:next w:val="Normal"/>
    <w:link w:val="Titre2Car"/>
    <w:unhideWhenUsed/>
    <w:qFormat/>
    <w:rsid w:val="007B3030"/>
    <w:pPr>
      <w:keepNext/>
      <w:keepLines/>
      <w:spacing w:before="120" w:after="120" w:line="276" w:lineRule="auto"/>
      <w:jc w:val="both"/>
      <w:outlineLvl w:val="1"/>
    </w:pPr>
    <w:rPr>
      <w:rFonts w:ascii="Georgia" w:eastAsiaTheme="majorEastAsia" w:hAnsi="Georgia" w:cstheme="majorBidi"/>
      <w:sz w:val="28"/>
      <w:szCs w:val="2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1Car">
    <w:name w:val="Titre 1 Car"/>
    <w:basedOn w:val="Policepardfaut"/>
    <w:link w:val="Titre1"/>
    <w:uiPriority w:val="9"/>
    <w:rsid w:val="007B3030"/>
    <w:rPr>
      <w:rFonts w:ascii="Georgia" w:eastAsiaTheme="majorEastAsia" w:hAnsi="Georgia" w:cstheme="majorBidi"/>
      <w:smallCaps/>
      <w:sz w:val="32"/>
      <w:szCs w:val="32"/>
      <w:bdr w:val="none" w:sz="0" w:space="0" w:color="auto"/>
      <w:lang w:val="fr-CA" w:eastAsia="en-US"/>
    </w:rPr>
  </w:style>
  <w:style w:type="character" w:customStyle="1" w:styleId="Titre2Car">
    <w:name w:val="Titre 2 Car"/>
    <w:basedOn w:val="Policepardfaut"/>
    <w:link w:val="Titre2"/>
    <w:rsid w:val="007B3030"/>
    <w:rPr>
      <w:rFonts w:ascii="Georgia" w:eastAsiaTheme="majorEastAsia" w:hAnsi="Georgia" w:cstheme="majorBidi"/>
      <w:sz w:val="28"/>
      <w:szCs w:val="26"/>
      <w:bdr w:val="none" w:sz="0" w:space="0" w:color="auto"/>
      <w:lang w:val="fr-CA" w:eastAsia="en-US"/>
    </w:rPr>
  </w:style>
  <w:style w:type="paragraph" w:styleId="Sansinterligne">
    <w:name w:val="No Spacing"/>
    <w:aliases w:val="Citations"/>
    <w:uiPriority w:val="1"/>
    <w:qFormat/>
    <w:rsid w:val="007B3030"/>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709" w:right="709"/>
      <w:jc w:val="both"/>
    </w:pPr>
    <w:rPr>
      <w:rFonts w:ascii="Bembo" w:eastAsiaTheme="minorHAnsi" w:hAnsi="Bembo" w:cstheme="minorBidi"/>
      <w:sz w:val="24"/>
      <w:szCs w:val="22"/>
      <w:bdr w:val="none" w:sz="0" w:space="0" w:color="auto"/>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8</Pages>
  <Words>3020</Words>
  <Characters>16615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2020-12-16T08:56:00Z</dcterms:created>
  <dcterms:modified xsi:type="dcterms:W3CDTF">2020-12-17T07:15:00Z</dcterms:modified>
</cp:coreProperties>
</file>