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4ABE8" w14:textId="77777777" w:rsidR="001C5AFA" w:rsidRDefault="001C5AFA" w:rsidP="001C5AFA">
      <w:pPr>
        <w:pStyle w:val="VDITitre"/>
      </w:pPr>
      <w:r>
        <w:t>La politique nazie et l’islam</w:t>
      </w:r>
    </w:p>
    <w:p w14:paraId="6EF3C49C" w14:textId="77777777" w:rsidR="001C5AFA" w:rsidRDefault="001C5AFA" w:rsidP="001C5AFA">
      <w:pPr>
        <w:pStyle w:val="VDIAuteur"/>
      </w:pPr>
      <w:r>
        <w:t xml:space="preserve">Matthieu </w:t>
      </w:r>
      <w:r w:rsidRPr="00DE2924">
        <w:rPr>
          <w:rFonts w:cs="Arial (Corps CS)"/>
          <w:smallCaps/>
        </w:rPr>
        <w:t>Rey</w:t>
      </w:r>
    </w:p>
    <w:p w14:paraId="2E764A6E" w14:textId="019ACD3F" w:rsidR="001C5AFA" w:rsidRPr="001A3E45" w:rsidRDefault="001A3E45" w:rsidP="001A3E45">
      <w:pPr>
        <w:pStyle w:val="VDIChapo"/>
      </w:pPr>
      <w:proofErr w:type="spellStart"/>
      <w:r>
        <w:t>Quelles</w:t>
      </w:r>
      <w:proofErr w:type="spellEnd"/>
      <w:r>
        <w:t xml:space="preserve"> </w:t>
      </w:r>
      <w:proofErr w:type="spellStart"/>
      <w:r>
        <w:t>furent</w:t>
      </w:r>
      <w:proofErr w:type="spellEnd"/>
      <w:r>
        <w:t xml:space="preserve"> les relations </w:t>
      </w:r>
      <w:proofErr w:type="spellStart"/>
      <w:r>
        <w:t>entre</w:t>
      </w:r>
      <w:proofErr w:type="spellEnd"/>
      <w:r>
        <w:t xml:space="preserve"> </w:t>
      </w:r>
      <w:proofErr w:type="spellStart"/>
      <w:r>
        <w:t>l’Allemagne</w:t>
      </w:r>
      <w:proofErr w:type="spellEnd"/>
      <w:r>
        <w:t xml:space="preserve"> nazie et </w:t>
      </w:r>
      <w:proofErr w:type="spellStart"/>
      <w:r>
        <w:t>le</w:t>
      </w:r>
      <w:proofErr w:type="spellEnd"/>
      <w:r>
        <w:t xml:space="preserve"> monde </w:t>
      </w:r>
      <w:proofErr w:type="spellStart"/>
      <w:proofErr w:type="gramStart"/>
      <w:r>
        <w:t>musulman</w:t>
      </w:r>
      <w:proofErr w:type="spellEnd"/>
      <w:r>
        <w:t> ?</w:t>
      </w:r>
      <w:proofErr w:type="gramEnd"/>
      <w:r>
        <w:t xml:space="preserve"> </w:t>
      </w:r>
      <w:proofErr w:type="spellStart"/>
      <w:r>
        <w:t>Comment</w:t>
      </w:r>
      <w:proofErr w:type="spellEnd"/>
      <w:r>
        <w:t xml:space="preserve"> </w:t>
      </w:r>
      <w:proofErr w:type="spellStart"/>
      <w:r>
        <w:t>concilier</w:t>
      </w:r>
      <w:proofErr w:type="spellEnd"/>
      <w:r>
        <w:t xml:space="preserve"> </w:t>
      </w:r>
      <w:proofErr w:type="spellStart"/>
      <w:r>
        <w:t>la politique</w:t>
      </w:r>
      <w:proofErr w:type="spellEnd"/>
      <w:r>
        <w:t xml:space="preserve"> </w:t>
      </w:r>
      <w:proofErr w:type="spellStart"/>
      <w:r>
        <w:t>d’alliance</w:t>
      </w:r>
      <w:proofErr w:type="spellEnd"/>
      <w:r>
        <w:t xml:space="preserve"> et la doctrine raciale?</w:t>
      </w:r>
      <w:proofErr w:type="spellStart"/>
      <w:r>
        <w:t xml:space="preserve"> </w:t>
      </w:r>
      <w:proofErr w:type="spellEnd"/>
      <w:r>
        <w:t xml:space="preserve">David </w:t>
      </w:r>
      <w:proofErr w:type="spellStart"/>
      <w:r>
        <w:t>Motadel</w:t>
      </w:r>
      <w:proofErr w:type="spellEnd"/>
      <w:r>
        <w:t xml:space="preserve"> </w:t>
      </w:r>
      <w:proofErr w:type="spellStart"/>
      <w:r>
        <w:t>comble</w:t>
      </w:r>
      <w:proofErr w:type="spellEnd"/>
      <w:r>
        <w:t xml:space="preserve"> </w:t>
      </w:r>
      <w:proofErr w:type="spellStart"/>
      <w:r>
        <w:t>un</w:t>
      </w:r>
      <w:proofErr w:type="spellEnd"/>
      <w:r>
        <w:t xml:space="preserve"> </w:t>
      </w:r>
      <w:proofErr w:type="spellStart"/>
      <w:r>
        <w:t>manque</w:t>
      </w:r>
      <w:proofErr w:type="spellEnd"/>
      <w:r>
        <w:t xml:space="preserve"> important dans </w:t>
      </w:r>
      <w:proofErr w:type="spellStart"/>
      <w:r>
        <w:t>l’historiographie</w:t>
      </w:r>
      <w:proofErr w:type="spellEnd"/>
      <w:r>
        <w:t xml:space="preserve">, à la </w:t>
      </w:r>
      <w:proofErr w:type="spellStart"/>
      <w:r>
        <w:t>conquête</w:t>
      </w:r>
      <w:proofErr w:type="spellEnd"/>
      <w:r>
        <w:t xml:space="preserve"> des </w:t>
      </w:r>
      <w:proofErr w:type="spellStart"/>
      <w:r>
        <w:t>retournements</w:t>
      </w:r>
      <w:proofErr w:type="spellEnd"/>
      <w:r>
        <w:t xml:space="preserve"> </w:t>
      </w:r>
      <w:proofErr w:type="spellStart"/>
      <w:r>
        <w:t>pragmatiques</w:t>
      </w:r>
      <w:proofErr w:type="spellEnd"/>
      <w:r>
        <w:t xml:space="preserve"> du </w:t>
      </w:r>
      <w:proofErr w:type="spellStart"/>
      <w:r>
        <w:t>troisième</w:t>
      </w:r>
      <w:proofErr w:type="spellEnd"/>
      <w:r>
        <w:t xml:space="preserve"> Reich.</w:t>
      </w:r>
    </w:p>
    <w:p w14:paraId="4C8191C1" w14:textId="6B09FAB1" w:rsidR="001C5AFA" w:rsidRPr="001A3E45" w:rsidRDefault="001C5AFA" w:rsidP="001A3E45">
      <w:pPr>
        <w:pStyle w:val="VDIRecens"/>
      </w:pPr>
      <w:r w:rsidRPr="001C5AFA">
        <w:t>À propos de :</w:t>
      </w:r>
      <w:r>
        <w:rPr>
          <w:b/>
        </w:rPr>
        <w:t xml:space="preserve"> </w:t>
      </w:r>
      <w:r w:rsidRPr="005A4AF0">
        <w:t xml:space="preserve">David </w:t>
      </w:r>
      <w:proofErr w:type="spellStart"/>
      <w:r w:rsidRPr="005A4AF0">
        <w:t>Motadel</w:t>
      </w:r>
      <w:proofErr w:type="spellEnd"/>
      <w:r w:rsidRPr="005A4AF0">
        <w:t xml:space="preserve">, </w:t>
      </w:r>
      <w:r w:rsidRPr="005A4AF0">
        <w:rPr>
          <w:i/>
          <w:iCs/>
        </w:rPr>
        <w:t>Les musulmans et la machine de guerre nazie</w:t>
      </w:r>
      <w:r w:rsidRPr="005A4AF0">
        <w:t xml:space="preserve">, </w:t>
      </w:r>
      <w:r>
        <w:t xml:space="preserve">Paris, </w:t>
      </w:r>
      <w:r w:rsidRPr="005A4AF0">
        <w:t xml:space="preserve">Ed. La </w:t>
      </w:r>
      <w:r>
        <w:t>D</w:t>
      </w:r>
      <w:r w:rsidRPr="005A4AF0">
        <w:t>écouverte, Paris, 2019</w:t>
      </w:r>
      <w:r>
        <w:t>.</w:t>
      </w:r>
      <w:r w:rsidR="0054273A">
        <w:t xml:space="preserve"> 440 p., 25 €.</w:t>
      </w:r>
    </w:p>
    <w:p w14:paraId="14B75413" w14:textId="1026CF23" w:rsidR="001C5AFA" w:rsidRPr="001A3E45" w:rsidRDefault="001C5AFA" w:rsidP="001A3E45">
      <w:pPr>
        <w:pStyle w:val="Corps"/>
      </w:pPr>
      <w:r>
        <w:t>Comparer</w:t>
      </w:r>
      <w:r w:rsidRPr="005A4AF0">
        <w:t xml:space="preserve"> </w:t>
      </w:r>
      <w:r>
        <w:t>entre elles les politiques d’interaction des forces nazies avec l</w:t>
      </w:r>
      <w:r w:rsidRPr="005A4AF0">
        <w:t xml:space="preserve">es communautés musulmanes </w:t>
      </w:r>
      <w:r>
        <w:t xml:space="preserve">lorsqu’elles envahissent Afrique du Nord, Caucase ou Balkans, </w:t>
      </w:r>
      <w:r w:rsidRPr="005A4AF0">
        <w:t xml:space="preserve">pour en tirer les aspects saillants et proposer une analyse critique, </w:t>
      </w:r>
      <w:r>
        <w:t xml:space="preserve">ancrée dans la </w:t>
      </w:r>
      <w:r w:rsidRPr="005A4AF0">
        <w:t>chronologie, d’un « moment musulman » (1941-1942)</w:t>
      </w:r>
      <w:r>
        <w:t>, tels</w:t>
      </w:r>
      <w:r w:rsidRPr="005A4AF0">
        <w:t xml:space="preserve"> </w:t>
      </w:r>
      <w:r>
        <w:t>sont les objectifs, pleinement atteints,</w:t>
      </w:r>
      <w:r w:rsidRPr="005A4AF0">
        <w:t xml:space="preserve"> </w:t>
      </w:r>
      <w:r>
        <w:t>de cet</w:t>
      </w:r>
      <w:r w:rsidRPr="005A4AF0">
        <w:t xml:space="preserve"> ouvrage. L’ambition de David </w:t>
      </w:r>
      <w:proofErr w:type="spellStart"/>
      <w:r w:rsidRPr="005A4AF0">
        <w:t>Motadel</w:t>
      </w:r>
      <w:proofErr w:type="spellEnd"/>
      <w:r w:rsidRPr="005A4AF0">
        <w:t xml:space="preserve"> est grande</w:t>
      </w:r>
      <w:r>
        <w:t> : il enquête</w:t>
      </w:r>
      <w:r w:rsidRPr="005A4AF0">
        <w:t xml:space="preserve"> sur la « ceinture musulmane, du désert du Sahara à la péninsule des Balkans, aux confins de l’Union soviétique et au-d</w:t>
      </w:r>
      <w:r>
        <w:t>e</w:t>
      </w:r>
      <w:r w:rsidRPr="005A4AF0">
        <w:t xml:space="preserve">là » (p. 11), </w:t>
      </w:r>
      <w:r>
        <w:t xml:space="preserve">et </w:t>
      </w:r>
      <w:r w:rsidRPr="005A4AF0">
        <w:t>dress</w:t>
      </w:r>
      <w:r>
        <w:t>e</w:t>
      </w:r>
      <w:r w:rsidRPr="005A4AF0">
        <w:t xml:space="preserve"> un panoptique des terrains où </w:t>
      </w:r>
      <w:r>
        <w:t>s’applique</w:t>
      </w:r>
      <w:r w:rsidRPr="005A4AF0">
        <w:t xml:space="preserve"> la politique nazie en terre d’islam, terrains le plus souvent isolés </w:t>
      </w:r>
      <w:r>
        <w:t xml:space="preserve">les uns des autres </w:t>
      </w:r>
      <w:r w:rsidRPr="005A4AF0">
        <w:t xml:space="preserve">dans l’historiographie. </w:t>
      </w:r>
      <w:r>
        <w:t>Reposant</w:t>
      </w:r>
      <w:r w:rsidRPr="005A4AF0">
        <w:t xml:space="preserve"> sur une documentation foisonnante et difficile d’accès, </w:t>
      </w:r>
      <w:r>
        <w:t xml:space="preserve">le livre de </w:t>
      </w:r>
      <w:proofErr w:type="spellStart"/>
      <w:r>
        <w:t>Motadel</w:t>
      </w:r>
      <w:proofErr w:type="spellEnd"/>
      <w:r>
        <w:t xml:space="preserve"> </w:t>
      </w:r>
      <w:r w:rsidRPr="005A4AF0">
        <w:t xml:space="preserve">comble un manque important sur notre connaissance des relations entre Allemagne nazie et monde musulman. </w:t>
      </w:r>
    </w:p>
    <w:p w14:paraId="09FC4E34" w14:textId="55848591" w:rsidR="001C5AFA" w:rsidRPr="001A3E45" w:rsidRDefault="001C5AFA" w:rsidP="001A3E45">
      <w:pPr>
        <w:pStyle w:val="Corps"/>
      </w:pPr>
      <w:r>
        <w:t>L</w:t>
      </w:r>
      <w:r w:rsidRPr="005A4AF0">
        <w:t xml:space="preserve">’auteur rappelle </w:t>
      </w:r>
      <w:r>
        <w:t xml:space="preserve">d’abord </w:t>
      </w:r>
      <w:r w:rsidRPr="005A4AF0">
        <w:t xml:space="preserve">les grands questionnements </w:t>
      </w:r>
      <w:r>
        <w:t>que les</w:t>
      </w:r>
      <w:r w:rsidRPr="005A4AF0">
        <w:t xml:space="preserve"> historiens </w:t>
      </w:r>
      <w:r>
        <w:t xml:space="preserve">ont posés sur cette thématique, </w:t>
      </w:r>
      <w:r w:rsidRPr="005A4AF0">
        <w:t xml:space="preserve">objet de nombreuses études. </w:t>
      </w:r>
      <w:r>
        <w:t>Celles-ci ont porté sur des</w:t>
      </w:r>
      <w:r w:rsidRPr="005A4AF0">
        <w:t xml:space="preserve"> personnalités – le mufti de Jérusalem, Amin</w:t>
      </w:r>
      <w:r>
        <w:t> </w:t>
      </w:r>
      <w:r w:rsidRPr="005A4AF0">
        <w:t>al-Husseini concentrant particulièrement l’attention</w:t>
      </w:r>
      <w:r>
        <w:t xml:space="preserve"> car il fut le dirigeant de la contestation anticoloniale en Palestine mandataire avant de trouver refuge à Berlin au début des années 1940</w:t>
      </w:r>
      <w:r w:rsidRPr="005A4AF0">
        <w:t xml:space="preserve"> </w:t>
      </w:r>
      <w:r>
        <w:t>–</w:t>
      </w:r>
      <w:r w:rsidRPr="005A4AF0">
        <w:t xml:space="preserve">, </w:t>
      </w:r>
      <w:r>
        <w:t>sur les</w:t>
      </w:r>
      <w:r w:rsidRPr="005A4AF0">
        <w:t xml:space="preserve"> </w:t>
      </w:r>
      <w:r>
        <w:t>incidences</w:t>
      </w:r>
      <w:r w:rsidRPr="005A4AF0">
        <w:t xml:space="preserve"> </w:t>
      </w:r>
      <w:r>
        <w:t>des</w:t>
      </w:r>
      <w:r w:rsidRPr="005A4AF0">
        <w:t xml:space="preserve"> politiques coloniales allemandes sur les entreprises nazies, ou encore </w:t>
      </w:r>
      <w:r>
        <w:t xml:space="preserve">sur </w:t>
      </w:r>
      <w:r w:rsidRPr="005A4AF0">
        <w:t xml:space="preserve">les rapports </w:t>
      </w:r>
      <w:r>
        <w:t>entre le</w:t>
      </w:r>
      <w:r w:rsidRPr="005A4AF0">
        <w:t xml:space="preserve"> monde arabo-musulman et </w:t>
      </w:r>
      <w:r>
        <w:t>l</w:t>
      </w:r>
      <w:r w:rsidRPr="005A4AF0">
        <w:t xml:space="preserve">es autorités nazies. Si chacun de ces travaux </w:t>
      </w:r>
      <w:r>
        <w:t>a</w:t>
      </w:r>
      <w:r w:rsidRPr="005A4AF0">
        <w:t xml:space="preserve"> permis de comprendre telle ou telle dimension des interactions entre islam et politique nazie, nul ne prétendait réaliser l’effort de synthèse proposé ici. Ces </w:t>
      </w:r>
      <w:r w:rsidRPr="005A4AF0">
        <w:lastRenderedPageBreak/>
        <w:t xml:space="preserve">limites tenaient très largement aux </w:t>
      </w:r>
      <w:r>
        <w:t>insuffisances</w:t>
      </w:r>
      <w:r w:rsidRPr="005A4AF0">
        <w:t xml:space="preserve"> linguistiques</w:t>
      </w:r>
      <w:r>
        <w:t xml:space="preserve"> des auteurs</w:t>
      </w:r>
      <w:r w:rsidRPr="005A4AF0">
        <w:t xml:space="preserve">. David </w:t>
      </w:r>
      <w:proofErr w:type="spellStart"/>
      <w:r w:rsidRPr="005A4AF0">
        <w:t>Motadel</w:t>
      </w:r>
      <w:proofErr w:type="spellEnd"/>
      <w:r w:rsidRPr="005A4AF0">
        <w:t xml:space="preserve">, directement ou par </w:t>
      </w:r>
      <w:r>
        <w:t>l’intermédiaire</w:t>
      </w:r>
      <w:r w:rsidRPr="005A4AF0">
        <w:t xml:space="preserve"> de traduction</w:t>
      </w:r>
      <w:r>
        <w:t>s</w:t>
      </w:r>
      <w:r w:rsidRPr="005A4AF0">
        <w:t>, a pu réunir une documentation en huit langues, éclairant par autant d’</w:t>
      </w:r>
      <w:r>
        <w:t>éclairage</w:t>
      </w:r>
      <w:r w:rsidRPr="005A4AF0">
        <w:t>s différents, les expériences des nazis en terre d’islam</w:t>
      </w:r>
      <w:r>
        <w:t>,</w:t>
      </w:r>
      <w:r w:rsidRPr="005A4AF0">
        <w:t xml:space="preserve"> le raffinement et les modifications du discours tenu</w:t>
      </w:r>
      <w:r>
        <w:t xml:space="preserve"> par les nazis</w:t>
      </w:r>
      <w:r w:rsidRPr="005A4AF0">
        <w:t>. Cette prouesse justifie</w:t>
      </w:r>
      <w:r>
        <w:t>,</w:t>
      </w:r>
      <w:r w:rsidRPr="00DE2924">
        <w:t xml:space="preserve"> </w:t>
      </w:r>
      <w:r w:rsidRPr="005A4AF0">
        <w:t>à elle seule</w:t>
      </w:r>
      <w:r>
        <w:t>,</w:t>
      </w:r>
      <w:r w:rsidRPr="005A4AF0">
        <w:t xml:space="preserve"> plus qu’amplement la lecture de cet ouvrage majeur. </w:t>
      </w:r>
    </w:p>
    <w:p w14:paraId="2F50D9C3" w14:textId="77777777" w:rsidR="001C5AFA" w:rsidRPr="007B6788" w:rsidRDefault="001C5AFA" w:rsidP="001C5AFA">
      <w:pPr>
        <w:pStyle w:val="VDIIntertitre"/>
      </w:pPr>
      <w:r>
        <w:t>Le « moment musulman » du régime nazi</w:t>
      </w:r>
    </w:p>
    <w:p w14:paraId="750478CE" w14:textId="3CD27A53" w:rsidR="001C5AFA" w:rsidRPr="001A3E45" w:rsidRDefault="001C5AFA" w:rsidP="001A3E45">
      <w:pPr>
        <w:pStyle w:val="Corps"/>
      </w:pPr>
      <w:r w:rsidRPr="005A4AF0">
        <w:t>Trois grandes respirations animent le récit. Dans un premier temps</w:t>
      </w:r>
      <w:r>
        <w:t>,</w:t>
      </w:r>
      <w:r w:rsidRPr="005A4AF0">
        <w:t xml:space="preserve"> l’auteur </w:t>
      </w:r>
      <w:r>
        <w:t>rappelle</w:t>
      </w:r>
      <w:r w:rsidRPr="005A4AF0">
        <w:t xml:space="preserve"> les héritages impériaux et l’expérience de la </w:t>
      </w:r>
      <w:r>
        <w:t>P</w:t>
      </w:r>
      <w:r w:rsidRPr="005A4AF0">
        <w:t xml:space="preserve">remière Guerre </w:t>
      </w:r>
      <w:r>
        <w:t>m</w:t>
      </w:r>
      <w:r w:rsidRPr="005A4AF0">
        <w:t>ondiale</w:t>
      </w:r>
      <w:r>
        <w:t>,</w:t>
      </w:r>
      <w:r w:rsidRPr="005A4AF0">
        <w:t xml:space="preserve"> et tente de mesurer leur poids sur le « moment musulman ». Avant de revenir sur cette notion, saluons la démarche prudente de l’auteur qui montre comment l’Allemagne développe une pensée du monde musulman </w:t>
      </w:r>
      <w:r>
        <w:t>à partir</w:t>
      </w:r>
      <w:r w:rsidRPr="005A4AF0">
        <w:t xml:space="preserve"> des premiers contacts avec l’Empire ottoman, faits de recherches archéologiques, d’accords diplomatiques et d’envois de missions diplomatiques. </w:t>
      </w:r>
      <w:r>
        <w:t>Plus intéressant encore, c</w:t>
      </w:r>
      <w:r w:rsidRPr="005A4AF0">
        <w:t xml:space="preserve">e chapitre </w:t>
      </w:r>
      <w:r>
        <w:t xml:space="preserve">suit </w:t>
      </w:r>
      <w:r w:rsidRPr="005A4AF0">
        <w:t xml:space="preserve">l’émergence, au croisement des mondes académique et administratif, de figures dont la pensée fournit le soubassement idéologique de la bureaucratie allemande. Sans poser la question en termes de rupture </w:t>
      </w:r>
      <w:r>
        <w:t>ou</w:t>
      </w:r>
      <w:r w:rsidRPr="005A4AF0">
        <w:t xml:space="preserve"> de continuité, D. </w:t>
      </w:r>
      <w:proofErr w:type="spellStart"/>
      <w:r w:rsidRPr="005A4AF0">
        <w:t>Motadel</w:t>
      </w:r>
      <w:proofErr w:type="spellEnd"/>
      <w:r w:rsidRPr="005A4AF0">
        <w:t xml:space="preserve"> souligne ainsi comment </w:t>
      </w:r>
      <w:r>
        <w:t xml:space="preserve">les orientalistes, tel Max </w:t>
      </w:r>
      <w:proofErr w:type="spellStart"/>
      <w:r>
        <w:t>von</w:t>
      </w:r>
      <w:proofErr w:type="spellEnd"/>
      <w:r>
        <w:t xml:space="preserve"> Oppenheim parcourant l’Orient dans les années 1910, </w:t>
      </w:r>
      <w:r w:rsidRPr="005A4AF0">
        <w:t xml:space="preserve">cadrent la vision nazie du monde musulman. </w:t>
      </w:r>
    </w:p>
    <w:p w14:paraId="2EC01402" w14:textId="0E7861CB" w:rsidR="001C5AFA" w:rsidRPr="001C5AFA" w:rsidRDefault="001C5AFA" w:rsidP="001C5AFA">
      <w:pPr>
        <w:pStyle w:val="Corps"/>
      </w:pPr>
      <w:r w:rsidRPr="005A4AF0">
        <w:t>Le second chapitre constitue le cœur de la démonstration. Entre 1941 et 1942, sous l’impulsion de différentes administrations</w:t>
      </w:r>
      <w:r>
        <w:t>, des membres de l’université, de la SS, etc.</w:t>
      </w:r>
      <w:r w:rsidRPr="005A4AF0">
        <w:t xml:space="preserve">, le régime nazi se met à penser le monde musulman. Connivence </w:t>
      </w:r>
      <w:r>
        <w:t>avec</w:t>
      </w:r>
      <w:r w:rsidRPr="005A4AF0">
        <w:t xml:space="preserve"> l’Islam dans le cas d’Himmler (p.</w:t>
      </w:r>
      <w:r>
        <w:t> </w:t>
      </w:r>
      <w:r w:rsidRPr="005A4AF0">
        <w:t>69), reconstruction historique des généalogies européennes faisant de 1</w:t>
      </w:r>
      <w:r>
        <w:t xml:space="preserve">683 – dernier siège de Vienne par l’Empire </w:t>
      </w:r>
      <w:r w:rsidRPr="007B6788">
        <w:t xml:space="preserve">ottoman – </w:t>
      </w:r>
      <w:r w:rsidRPr="007B6788">
        <w:rPr>
          <w:rStyle w:val="Marquedecommentaire"/>
          <w:rFonts w:ascii="Times" w:hAnsi="Times"/>
        </w:rPr>
        <w:t>le</w:t>
      </w:r>
      <w:r w:rsidRPr="007B6788">
        <w:t xml:space="preserve"> point</w:t>
      </w:r>
      <w:r w:rsidRPr="005A4AF0">
        <w:t xml:space="preserve"> tournant du destin allemand</w:t>
      </w:r>
      <w:r>
        <w:rPr>
          <w:rStyle w:val="Appelnotedebasdep"/>
          <w:rFonts w:ascii="Times" w:hAnsi="Times"/>
        </w:rPr>
        <w:footnoteReference w:id="1"/>
      </w:r>
      <w:r w:rsidRPr="005A4AF0">
        <w:t xml:space="preserve">, </w:t>
      </w:r>
      <w:r>
        <w:t>et</w:t>
      </w:r>
      <w:r w:rsidRPr="005A4AF0">
        <w:t xml:space="preserve"> discussion</w:t>
      </w:r>
      <w:r>
        <w:t xml:space="preserve"> des dirigeants nazis</w:t>
      </w:r>
      <w:r w:rsidRPr="005A4AF0">
        <w:t xml:space="preserve"> avec les savants sur l’usage de l’islam à des fins politiques concourent </w:t>
      </w:r>
      <w:r>
        <w:t>à ce</w:t>
      </w:r>
      <w:r w:rsidRPr="005A4AF0">
        <w:t xml:space="preserve"> que la direction nazie, et principalement la SS, érige une stratégie à l’adresse des mondes musulmans en clé de la victoire. </w:t>
      </w:r>
      <w:r>
        <w:t xml:space="preserve">Dans cette perspective, les musulmans deviennent les partenaires indispensables de l’Allemagne nazie pour remporter la guerre. </w:t>
      </w:r>
      <w:r w:rsidRPr="005A4AF0">
        <w:t xml:space="preserve">Ce chapitre </w:t>
      </w:r>
      <w:r>
        <w:t xml:space="preserve">sur le moment musulman </w:t>
      </w:r>
      <w:r w:rsidRPr="005A4AF0">
        <w:t xml:space="preserve">est d’autant plus fascinant </w:t>
      </w:r>
      <w:r>
        <w:t>que l’auteur ne mentionne pas le grand bouleversement à l’œuvre en 1941-1942. Le déclenchement de</w:t>
      </w:r>
      <w:r w:rsidRPr="005A4AF0">
        <w:t xml:space="preserve"> l’opération Barbarossa est en train de </w:t>
      </w:r>
      <w:r>
        <w:t>conduire à une redéfinition d</w:t>
      </w:r>
      <w:r w:rsidRPr="005A4AF0">
        <w:t xml:space="preserve">es catégories raciales et </w:t>
      </w:r>
      <w:r>
        <w:t>à d</w:t>
      </w:r>
      <w:r w:rsidRPr="005A4AF0">
        <w:t>es stratégies de violenc</w:t>
      </w:r>
      <w:r>
        <w:t>e contre les populations juives. Or,</w:t>
      </w:r>
      <w:r w:rsidRPr="005A4AF0">
        <w:t xml:space="preserve"> l’auteur souligne que, dans le même temps, les dignitaires nazis </w:t>
      </w:r>
      <w:r>
        <w:t>engagent</w:t>
      </w:r>
      <w:r w:rsidRPr="005A4AF0">
        <w:t xml:space="preserve"> une </w:t>
      </w:r>
      <w:r>
        <w:t>politique d’</w:t>
      </w:r>
      <w:r w:rsidRPr="005A4AF0">
        <w:t xml:space="preserve">ouverture </w:t>
      </w:r>
      <w:r>
        <w:t>à l’égard du</w:t>
      </w:r>
      <w:r w:rsidRPr="005A4AF0">
        <w:t xml:space="preserve"> monde musulman. Soudainement, la hiérarchie des peuples et des races est mise en suspens pour autoriser des rapprochements avec les Turcs et les Iraniens, mais aussi avec les Arabes, dont le caractère sémite ne pose guère de problème</w:t>
      </w:r>
      <w:r>
        <w:t xml:space="preserve"> aux nazis</w:t>
      </w:r>
      <w:r w:rsidRPr="005A4AF0">
        <w:t xml:space="preserve">. </w:t>
      </w:r>
      <w:r>
        <w:t>L</w:t>
      </w:r>
      <w:r w:rsidRPr="005A4AF0">
        <w:t xml:space="preserve">e </w:t>
      </w:r>
      <w:r w:rsidRPr="005A4AF0">
        <w:lastRenderedPageBreak/>
        <w:t xml:space="preserve">« moment musulman » démontre que la guerre contre l’URSS </w:t>
      </w:r>
      <w:r>
        <w:t>conduit</w:t>
      </w:r>
      <w:r w:rsidRPr="005A4AF0">
        <w:t xml:space="preserve"> à exclure de l’humanité les </w:t>
      </w:r>
      <w:r>
        <w:t>J</w:t>
      </w:r>
      <w:r w:rsidRPr="005A4AF0">
        <w:t xml:space="preserve">uifs </w:t>
      </w:r>
      <w:r w:rsidRPr="005A4AF0">
        <w:rPr>
          <w:i/>
          <w:iCs/>
        </w:rPr>
        <w:t>et les Juifs seulement</w:t>
      </w:r>
      <w:r>
        <w:rPr>
          <w:iCs/>
        </w:rPr>
        <w:t>,</w:t>
      </w:r>
      <w:r w:rsidRPr="005A4AF0">
        <w:t xml:space="preserve"> et à permettre toutes les alliances à cette fin. </w:t>
      </w:r>
    </w:p>
    <w:p w14:paraId="19CC694B" w14:textId="77777777" w:rsidR="001C5AFA" w:rsidRPr="009E22B9" w:rsidRDefault="001C5AFA" w:rsidP="001C5AFA">
      <w:pPr>
        <w:pStyle w:val="VDIIntertitre"/>
      </w:pPr>
      <w:r>
        <w:t>Pensée raciale ou pragmatisme</w:t>
      </w:r>
    </w:p>
    <w:p w14:paraId="06833D96" w14:textId="71AB964B" w:rsidR="001C5AFA" w:rsidRPr="001A3E45" w:rsidRDefault="001C5AFA" w:rsidP="001A3E45">
      <w:pPr>
        <w:pStyle w:val="Corps"/>
      </w:pPr>
      <w:r w:rsidRPr="005A4AF0">
        <w:t xml:space="preserve">La seconde respiration est d’ordre géographique. Trois grands terrains d’opération et d’interaction font l’objet d’une analyse fine </w:t>
      </w:r>
      <w:r>
        <w:t>dans les</w:t>
      </w:r>
      <w:r w:rsidRPr="005A4AF0">
        <w:t xml:space="preserve"> trois chapitres</w:t>
      </w:r>
      <w:r>
        <w:t xml:space="preserve"> suivants</w:t>
      </w:r>
      <w:r w:rsidRPr="005A4AF0">
        <w:t xml:space="preserve">. Moyen-Orient, Caucase et Balkans constituent autant de sites d’observation des concurrences </w:t>
      </w:r>
      <w:r>
        <w:t>entre</w:t>
      </w:r>
      <w:r w:rsidRPr="005A4AF0">
        <w:t xml:space="preserve"> service</w:t>
      </w:r>
      <w:r>
        <w:t>s</w:t>
      </w:r>
      <w:r w:rsidRPr="005A4AF0">
        <w:t xml:space="preserve"> (</w:t>
      </w:r>
      <w:r>
        <w:t xml:space="preserve">on se dispute pour savoir </w:t>
      </w:r>
      <w:r w:rsidRPr="005A4AF0">
        <w:t>qui</w:t>
      </w:r>
      <w:r>
        <w:t>,</w:t>
      </w:r>
      <w:r w:rsidRPr="005A4AF0">
        <w:t xml:space="preserve"> du ministère des Affaires étrangères, de la Wehrmacht ou de la SS</w:t>
      </w:r>
      <w:r>
        <w:t>,</w:t>
      </w:r>
      <w:r w:rsidRPr="005A4AF0">
        <w:t xml:space="preserve"> doit avoir la prééminence), des ententes avec les acteurs locaux, </w:t>
      </w:r>
      <w:r>
        <w:t>ou encore</w:t>
      </w:r>
      <w:r w:rsidRPr="005A4AF0">
        <w:t xml:space="preserve"> des stratégies visant à structurer l’islam local. Plusieurs traits communs apparaissent rapidement. Tout</w:t>
      </w:r>
      <w:r>
        <w:t>e politique</w:t>
      </w:r>
      <w:r w:rsidRPr="005A4AF0">
        <w:t xml:space="preserve"> commence par le déploiement d’outils de propagande, </w:t>
      </w:r>
      <w:r>
        <w:t>visant à présenter</w:t>
      </w:r>
      <w:r w:rsidRPr="005A4AF0">
        <w:t xml:space="preserve"> l’Allemagne comme l</w:t>
      </w:r>
      <w:r>
        <w:t>’unique</w:t>
      </w:r>
      <w:r w:rsidRPr="005A4AF0">
        <w:t xml:space="preserve"> défenseur de l’</w:t>
      </w:r>
      <w:r>
        <w:t>I</w:t>
      </w:r>
      <w:r w:rsidRPr="005A4AF0">
        <w:t xml:space="preserve">slam. Les armées allemandes n’arrivent pas </w:t>
      </w:r>
      <w:r>
        <w:t xml:space="preserve">cependant </w:t>
      </w:r>
      <w:r w:rsidRPr="005A4AF0">
        <w:t>avec des schémas préconçus</w:t>
      </w:r>
      <w:r>
        <w:t xml:space="preserve"> à l’égard des populations en question</w:t>
      </w:r>
      <w:r w:rsidRPr="005A4AF0">
        <w:t xml:space="preserve">. </w:t>
      </w:r>
      <w:r>
        <w:t>S</w:t>
      </w:r>
      <w:r w:rsidRPr="005A4AF0">
        <w:t>ouvent</w:t>
      </w:r>
      <w:r>
        <w:t xml:space="preserve"> c</w:t>
      </w:r>
      <w:r w:rsidRPr="005A4AF0">
        <w:t xml:space="preserve">es populations sont </w:t>
      </w:r>
      <w:r>
        <w:t xml:space="preserve">d’abord </w:t>
      </w:r>
      <w:r w:rsidRPr="005A4AF0">
        <w:t>délaissées pour ne pas heurter des pouvoirs alliés (</w:t>
      </w:r>
      <w:r>
        <w:t>l</w:t>
      </w:r>
      <w:r w:rsidRPr="005A4AF0">
        <w:t xml:space="preserve">a France vichyste ou oustachi croate). Après des hésitations et des incertitudes, </w:t>
      </w:r>
      <w:r>
        <w:t>les autorités allemandes occupantes (Wehrmacht ou SS)</w:t>
      </w:r>
      <w:r w:rsidRPr="005A4AF0">
        <w:t xml:space="preserve"> tentent de rallier </w:t>
      </w:r>
      <w:r>
        <w:t xml:space="preserve">les autorités musulmanes tout </w:t>
      </w:r>
      <w:r w:rsidRPr="005A4AF0">
        <w:t>en se méfiant de</w:t>
      </w:r>
      <w:r>
        <w:t>s</w:t>
      </w:r>
      <w:r w:rsidRPr="005A4AF0">
        <w:t xml:space="preserve"> contre-pouvoirs religieux. Ainsi la désignation d’un </w:t>
      </w:r>
      <w:r>
        <w:t>m</w:t>
      </w:r>
      <w:r w:rsidRPr="005A4AF0">
        <w:t>ufti pour la Crimée tra</w:t>
      </w:r>
      <w:r>
        <w:t>î</w:t>
      </w:r>
      <w:r w:rsidRPr="005A4AF0">
        <w:t xml:space="preserve">ne. </w:t>
      </w:r>
      <w:r>
        <w:t>L’</w:t>
      </w:r>
      <w:r w:rsidRPr="005A4AF0">
        <w:t xml:space="preserve">attention </w:t>
      </w:r>
      <w:r>
        <w:t xml:space="preserve">des nazis </w:t>
      </w:r>
      <w:r w:rsidRPr="005A4AF0">
        <w:t>envers les « musulmans » se prolonge au-delà du temps d’occupation</w:t>
      </w:r>
      <w:r>
        <w:t>,</w:t>
      </w:r>
      <w:r w:rsidRPr="005A4AF0">
        <w:t xml:space="preserve"> que ce soit par la nomination de représentants en exil ou par l’accueil sur le territoire du Reich des populations qui risquent, </w:t>
      </w:r>
      <w:r>
        <w:t>en raison de leur</w:t>
      </w:r>
      <w:r w:rsidRPr="005A4AF0">
        <w:t xml:space="preserve"> connivence avec les nazis, la déportation ou le massacre à l’heure de la libération. </w:t>
      </w:r>
    </w:p>
    <w:p w14:paraId="310958CE" w14:textId="5EB1BAC6" w:rsidR="001C5AFA" w:rsidRPr="001A3E45" w:rsidRDefault="001C5AFA" w:rsidP="001A3E45">
      <w:pPr>
        <w:pStyle w:val="Corps"/>
      </w:pPr>
      <w:r w:rsidRPr="005A4AF0">
        <w:t xml:space="preserve">Une hiérarchie émerge lentement entre les </w:t>
      </w:r>
      <w:r>
        <w:t xml:space="preserve">différents </w:t>
      </w:r>
      <w:r w:rsidRPr="005A4AF0">
        <w:t xml:space="preserve">espaces occupés. </w:t>
      </w:r>
      <w:r>
        <w:t>En raison de</w:t>
      </w:r>
      <w:r w:rsidRPr="005A4AF0">
        <w:t xml:space="preserve"> la présence de partenaires locaux, </w:t>
      </w:r>
      <w:r>
        <w:t xml:space="preserve">de </w:t>
      </w:r>
      <w:r w:rsidRPr="005A4AF0">
        <w:t xml:space="preserve">l’intégration de </w:t>
      </w:r>
      <w:r>
        <w:t xml:space="preserve">groupes de </w:t>
      </w:r>
      <w:r w:rsidRPr="005A4AF0">
        <w:t xml:space="preserve">populations </w:t>
      </w:r>
      <w:r>
        <w:t>à l’armée</w:t>
      </w:r>
      <w:r w:rsidRPr="005A4AF0">
        <w:t xml:space="preserve">, </w:t>
      </w:r>
      <w:r>
        <w:t>du</w:t>
      </w:r>
      <w:r w:rsidRPr="005A4AF0">
        <w:t xml:space="preserve"> temps d’occupation et </w:t>
      </w:r>
      <w:r>
        <w:t xml:space="preserve">de </w:t>
      </w:r>
      <w:r w:rsidRPr="005A4AF0">
        <w:t>sa pérennisation sous la forme d’institution</w:t>
      </w:r>
      <w:r>
        <w:t>s,</w:t>
      </w:r>
      <w:r w:rsidRPr="005A4AF0">
        <w:t xml:space="preserve"> le Caucase et les Balkans apparaissent comme beaucoup plus important</w:t>
      </w:r>
      <w:r>
        <w:t>s</w:t>
      </w:r>
      <w:r w:rsidRPr="005A4AF0">
        <w:t xml:space="preserve"> que le Moyen-Orient. Hormis l’accueil de Husseini puis de </w:t>
      </w:r>
      <w:proofErr w:type="spellStart"/>
      <w:r w:rsidRPr="005A4AF0">
        <w:t>Gaylani</w:t>
      </w:r>
      <w:proofErr w:type="spellEnd"/>
      <w:r w:rsidRPr="005A4AF0">
        <w:t xml:space="preserve">, le </w:t>
      </w:r>
      <w:r>
        <w:t>P</w:t>
      </w:r>
      <w:r w:rsidRPr="005A4AF0">
        <w:t xml:space="preserve">remier ministre irakien du gouvernement d’union nationale chassé par les </w:t>
      </w:r>
      <w:r>
        <w:t>B</w:t>
      </w:r>
      <w:r w:rsidRPr="005A4AF0">
        <w:t xml:space="preserve">ritanniques, les interactions avec les populations arabes sont faibles. Au contraire, les nazis changent d’approche durablement </w:t>
      </w:r>
      <w:r>
        <w:t xml:space="preserve">sur </w:t>
      </w:r>
      <w:r w:rsidRPr="005A4AF0">
        <w:t>les terrains caucasiens et balkaniques, délaissant leurs alliés croates pour soutenir et chercher l’appui de communautés bosniaques ou intégr</w:t>
      </w:r>
      <w:r>
        <w:t>ant</w:t>
      </w:r>
      <w:r w:rsidRPr="005A4AF0">
        <w:t xml:space="preserve"> dans leur rang des effectifs locaux. S</w:t>
      </w:r>
      <w:r>
        <w:t>’y</w:t>
      </w:r>
      <w:r w:rsidRPr="005A4AF0">
        <w:t xml:space="preserve"> forme la seule division SS musulmane, </w:t>
      </w:r>
      <w:proofErr w:type="spellStart"/>
      <w:r w:rsidRPr="005A4AF0">
        <w:t>Handzar</w:t>
      </w:r>
      <w:proofErr w:type="spellEnd"/>
      <w:r w:rsidRPr="005A4AF0">
        <w:t xml:space="preserve">. </w:t>
      </w:r>
    </w:p>
    <w:p w14:paraId="04593D86" w14:textId="3B24D681" w:rsidR="001C5AFA" w:rsidRPr="001C5AFA" w:rsidRDefault="001C5AFA" w:rsidP="001C5AFA">
      <w:pPr>
        <w:pStyle w:val="Corps"/>
      </w:pPr>
      <w:r w:rsidRPr="005A4AF0">
        <w:t xml:space="preserve">Ces chapitres sont cruciaux pour comprendre l’articulation d’une pensée raciale et d’une stratégie hautement pragmatique envers des populations musulmanes </w:t>
      </w:r>
      <w:r>
        <w:t xml:space="preserve">qui ont été victimes </w:t>
      </w:r>
      <w:r w:rsidRPr="005A4AF0">
        <w:t>des politiques précéd</w:t>
      </w:r>
      <w:r>
        <w:t>ant</w:t>
      </w:r>
      <w:r w:rsidRPr="005A4AF0">
        <w:t xml:space="preserve"> l’invasion allemande</w:t>
      </w:r>
      <w:r w:rsidRPr="005A4AF0" w:rsidDel="00A34EB0">
        <w:t xml:space="preserve"> </w:t>
      </w:r>
      <w:r>
        <w:t>avant de l’être</w:t>
      </w:r>
      <w:r w:rsidRPr="005A4AF0">
        <w:t xml:space="preserve"> de l’occupation. Le lecteur aurait pu attendre </w:t>
      </w:r>
      <w:r>
        <w:t>là</w:t>
      </w:r>
      <w:r w:rsidRPr="005A4AF0">
        <w:t xml:space="preserve"> quelques développements supplémentaires sur le poids des régimes antérieurs. Si l’on trouve quelques éléments saillants pour les Caucasiens et les Ukrainiens, </w:t>
      </w:r>
      <w:r>
        <w:t>cette</w:t>
      </w:r>
      <w:r w:rsidRPr="005A4AF0">
        <w:t xml:space="preserve"> perspective manque </w:t>
      </w:r>
      <w:r>
        <w:t>pour le</w:t>
      </w:r>
      <w:r w:rsidRPr="005A4AF0">
        <w:t xml:space="preserve"> Levant, </w:t>
      </w:r>
      <w:r>
        <w:t>la</w:t>
      </w:r>
      <w:r w:rsidRPr="005A4AF0">
        <w:t xml:space="preserve"> Libye et, surtout, les Balkans. </w:t>
      </w:r>
      <w:r>
        <w:t>T</w:t>
      </w:r>
      <w:r w:rsidRPr="005A4AF0">
        <w:t xml:space="preserve">oute une littérature sur les politiques coloniales en direction des mondes musulmans aurait </w:t>
      </w:r>
      <w:r>
        <w:t xml:space="preserve">également pu être </w:t>
      </w:r>
      <w:r w:rsidRPr="005A4AF0">
        <w:t xml:space="preserve">utilement mobilisée. </w:t>
      </w:r>
      <w:r w:rsidRPr="005A4AF0">
        <w:lastRenderedPageBreak/>
        <w:t>L’invention d’un « culte musulman »</w:t>
      </w:r>
      <w:r>
        <w:t>, pour reprendre le terme d’</w:t>
      </w:r>
      <w:proofErr w:type="spellStart"/>
      <w:r w:rsidRPr="005A4AF0">
        <w:t>Oissila</w:t>
      </w:r>
      <w:proofErr w:type="spellEnd"/>
      <w:r w:rsidRPr="005A4AF0">
        <w:t xml:space="preserve"> </w:t>
      </w:r>
      <w:proofErr w:type="spellStart"/>
      <w:r w:rsidRPr="005A4AF0">
        <w:t>Saaidia</w:t>
      </w:r>
      <w:proofErr w:type="spellEnd"/>
      <w:r w:rsidRPr="005A4AF0">
        <w:rPr>
          <w:rStyle w:val="Appelnotedebasdep"/>
          <w:rFonts w:ascii="Times" w:hAnsi="Times"/>
        </w:rPr>
        <w:footnoteReference w:id="2"/>
      </w:r>
      <w:r w:rsidRPr="005A4AF0">
        <w:t xml:space="preserve">, c’est-à-dire l’intervention concrète dans la pratique du culte (en mettant en avant les fêtes) ou de son organisation (désigner les bons représentants cléricaux), se retrouve largement au Caucase et dans les Balkans. Comme le souligne avec raison l’auteur, des tendances se </w:t>
      </w:r>
      <w:r>
        <w:t>dessinent,</w:t>
      </w:r>
      <w:r w:rsidRPr="005A4AF0">
        <w:t xml:space="preserve"> mais le temps d’occupation est trop court pour les voir éclore. Nombre d’entre elles rappelle</w:t>
      </w:r>
      <w:r>
        <w:t>nt</w:t>
      </w:r>
      <w:r w:rsidRPr="005A4AF0">
        <w:t xml:space="preserve"> étrangement l’attitude britannique, française ou russe</w:t>
      </w:r>
      <w:r>
        <w:t xml:space="preserve"> comme la désignation des bonnes autorités musulmanes, l’usage de la symbolique musulmane pour conduire le combat etc</w:t>
      </w:r>
      <w:r w:rsidRPr="005A4AF0">
        <w:t xml:space="preserve">. Un tel rapprochement aurait permis </w:t>
      </w:r>
      <w:r>
        <w:t>d’</w:t>
      </w:r>
      <w:r w:rsidRPr="005A4AF0">
        <w:t xml:space="preserve">affiner la qualification de ces politiques. </w:t>
      </w:r>
    </w:p>
    <w:p w14:paraId="6E9A0263" w14:textId="77777777" w:rsidR="001C5AFA" w:rsidRPr="001B1616" w:rsidRDefault="001C5AFA" w:rsidP="001C5AFA">
      <w:pPr>
        <w:pStyle w:val="VDIIntertitre"/>
      </w:pPr>
      <w:r>
        <w:t>L’essentialisation des musulmans</w:t>
      </w:r>
    </w:p>
    <w:p w14:paraId="1BD89023" w14:textId="63571DC3" w:rsidR="001C5AFA" w:rsidRPr="001A3E45" w:rsidRDefault="001C5AFA" w:rsidP="001A3E45">
      <w:pPr>
        <w:pStyle w:val="Corps"/>
      </w:pPr>
      <w:r w:rsidRPr="005A4AF0">
        <w:t>Enfin, le troisième temps reprend trois grands thèmes qui traversent l’étude. Le premier tient à la mobilisation effective de musulmans dans les forces allemandes. Le second revient sur la manière dont rituels et pratiques musulmans</w:t>
      </w:r>
      <w:r>
        <w:t xml:space="preserve"> (absence de porc dans l’alimentation, respect des prières quotidiennes)</w:t>
      </w:r>
      <w:r w:rsidRPr="005A4AF0">
        <w:t xml:space="preserve"> </w:t>
      </w:r>
      <w:r>
        <w:t>modifi</w:t>
      </w:r>
      <w:r w:rsidRPr="005A4AF0">
        <w:t xml:space="preserve">ent l’attitude des militaires allemands envers les recrues ou les populations. Le troisième reprend les grandes thématiques </w:t>
      </w:r>
      <w:r>
        <w:t>de</w:t>
      </w:r>
      <w:r w:rsidRPr="005A4AF0">
        <w:t xml:space="preserve"> la propagande de guerre. </w:t>
      </w:r>
      <w:r>
        <w:t>Sur chacun de ces thèmes, les</w:t>
      </w:r>
      <w:r w:rsidRPr="005A4AF0">
        <w:t xml:space="preserve"> conclusions soulignent les paradoxes des politiques nazies. La plupart des recrues </w:t>
      </w:r>
      <w:r>
        <w:t xml:space="preserve">participent </w:t>
      </w:r>
      <w:r w:rsidRPr="005A4AF0">
        <w:t xml:space="preserve">au projet nazi </w:t>
      </w:r>
      <w:r>
        <w:t xml:space="preserve">non pas par adhésion idéologique, </w:t>
      </w:r>
      <w:r w:rsidRPr="005A4AF0">
        <w:t>mais optent pour la carrière des armes afin d’aider, comme ils le peuvent, leur famille à l’heure de pénuries diverses</w:t>
      </w:r>
      <w:r>
        <w:t xml:space="preserve">, ce qui </w:t>
      </w:r>
      <w:r w:rsidRPr="005A4AF0">
        <w:t>explique la réversibilité de l’engagement, conduisant à la dissolution d’unités devant la multiplication des désertions. De même, lorsque le rapport de force</w:t>
      </w:r>
      <w:r>
        <w:t>s</w:t>
      </w:r>
      <w:r w:rsidRPr="005A4AF0">
        <w:t xml:space="preserve"> s’inverse au détriment de l’Allemagne, ces troupes s’autonomisent ou se dispersent, ne voulant nullement lier leur destin à celui du Reich. Mener une politique musulmane pour sauver l’Allemagne s’avère donc un leurre. Plus encore, prétendre </w:t>
      </w:r>
      <w:r>
        <w:t>comme le font les autorités nazies qu’il a pu y avoir des</w:t>
      </w:r>
      <w:r w:rsidRPr="005A4AF0">
        <w:t xml:space="preserve"> convergences ontologiques entre islam et nazisme, relève de la chimère… nazie. </w:t>
      </w:r>
    </w:p>
    <w:p w14:paraId="498AC739" w14:textId="201DA7E5" w:rsidR="001C5AFA" w:rsidRPr="001A3E45" w:rsidRDefault="001C5AFA" w:rsidP="001A3E45">
      <w:pPr>
        <w:pStyle w:val="Corps"/>
      </w:pPr>
      <w:r>
        <w:t>C</w:t>
      </w:r>
      <w:r w:rsidRPr="005A4AF0">
        <w:t xml:space="preserve">et effort du Troisième Reich à l’adresse des musulmans renseigne sur la plasticité des catégories et des stratégies nazies. Si l’effort </w:t>
      </w:r>
      <w:r>
        <w:t>pour</w:t>
      </w:r>
      <w:r w:rsidRPr="005A4AF0">
        <w:t xml:space="preserve"> présenter les Turcs et les Iraniens comme des non-</w:t>
      </w:r>
      <w:r>
        <w:t>S</w:t>
      </w:r>
      <w:r w:rsidRPr="005A4AF0">
        <w:t>émites reste cohérent,</w:t>
      </w:r>
      <w:r>
        <w:t xml:space="preserve"> point corroboré dans la philologie européenne depuis le XIX</w:t>
      </w:r>
      <w:r w:rsidRPr="001B1616">
        <w:rPr>
          <w:vertAlign w:val="superscript"/>
        </w:rPr>
        <w:t>e</w:t>
      </w:r>
      <w:r>
        <w:t xml:space="preserve"> siècle,</w:t>
      </w:r>
      <w:r w:rsidRPr="005A4AF0">
        <w:t xml:space="preserve"> la mobilisation d’Arabe</w:t>
      </w:r>
      <w:r>
        <w:t>s, donc de Sémites,</w:t>
      </w:r>
      <w:r w:rsidRPr="005A4AF0">
        <w:t xml:space="preserve"> montre les changements opérés dans les distinctions raciales. Cependant, cette malléabilité est relative. Lorsqu’il s’agit d’approcher les populations locales, le critère confessionnel prévaut : on parle aux « musulmans » du Caucase, des Balkans, etc. En cela, les autorités nazies s’inscrivent dans une tradition européenne essentialisant les composantes confessionnelles des territoires étrangers. Ce</w:t>
      </w:r>
      <w:r>
        <w:t>tte essentialisation</w:t>
      </w:r>
      <w:r w:rsidRPr="005A4AF0">
        <w:t xml:space="preserve"> se retrouve malheureusement </w:t>
      </w:r>
      <w:r>
        <w:t>sous la plume</w:t>
      </w:r>
      <w:r w:rsidRPr="005A4AF0">
        <w:t xml:space="preserve"> de l’auteur. Ce dernier a tendance à désigner ces sujets d’étude comme « musulmans ». Cette tendance – poussée à la caricature – se retrouve </w:t>
      </w:r>
      <w:r w:rsidRPr="005A4AF0">
        <w:lastRenderedPageBreak/>
        <w:t>dans les légendes de</w:t>
      </w:r>
      <w:r>
        <w:t>s</w:t>
      </w:r>
      <w:r w:rsidRPr="005A4AF0">
        <w:t xml:space="preserve"> photos où l’on voit « Un jeune musulman et un </w:t>
      </w:r>
      <w:r>
        <w:t>A</w:t>
      </w:r>
      <w:r w:rsidRPr="005A4AF0">
        <w:t xml:space="preserve">llemand » (p. 129). Ce mode énonciatif mériterait d’être repensé pour affiner l’analyse. </w:t>
      </w:r>
    </w:p>
    <w:p w14:paraId="6C09B384" w14:textId="473346BE" w:rsidR="001C5AFA" w:rsidRPr="005A4AF0" w:rsidRDefault="001C5AFA" w:rsidP="001C5AFA">
      <w:pPr>
        <w:pStyle w:val="Corps"/>
      </w:pPr>
      <w:r>
        <w:t>En conclusion</w:t>
      </w:r>
      <w:r w:rsidRPr="005A4AF0">
        <w:t>, l’ouvrage de D</w:t>
      </w:r>
      <w:r>
        <w:t>avid</w:t>
      </w:r>
      <w:r w:rsidRPr="005A4AF0">
        <w:t xml:space="preserve"> </w:t>
      </w:r>
      <w:proofErr w:type="spellStart"/>
      <w:r w:rsidRPr="005A4AF0">
        <w:t>Motadel</w:t>
      </w:r>
      <w:proofErr w:type="spellEnd"/>
      <w:r w:rsidRPr="005A4AF0">
        <w:t xml:space="preserve"> se révèle essentiel pour discuter des politiques nazies </w:t>
      </w:r>
      <w:r>
        <w:t>en direction</w:t>
      </w:r>
      <w:r w:rsidRPr="005A4AF0">
        <w:t xml:space="preserve"> du monde musulman par la brillante présentation panoptique de ces dernières. La qualité de la démonstration, le volume de la documentation et le style </w:t>
      </w:r>
      <w:r>
        <w:t xml:space="preserve">accessible </w:t>
      </w:r>
      <w:r w:rsidRPr="005A4AF0">
        <w:t xml:space="preserve">font de ce livre une lecture essentielle. Regrettons peut-être la conclusion </w:t>
      </w:r>
      <w:r>
        <w:t>en forme d’</w:t>
      </w:r>
      <w:r w:rsidRPr="005A4AF0">
        <w:t>épilogue qui procède à une longue généalogie des rapports entre politique et islam</w:t>
      </w:r>
      <w:r>
        <w:t>, des nazis aux Américains dans les années 1980</w:t>
      </w:r>
      <w:r w:rsidRPr="005A4AF0">
        <w:t xml:space="preserve">. Peut-être aurait-il été plus judicieux de questionner les innovations nazies au regard d’autres politiques coloniales et ainsi de conclure un ouvrage majeur dont le véritable titre serait </w:t>
      </w:r>
      <w:r>
        <w:t>plutôt « </w:t>
      </w:r>
      <w:r w:rsidRPr="005A4AF0">
        <w:t>la politique nazie et l’islam</w:t>
      </w:r>
      <w:r>
        <w:t> »</w:t>
      </w:r>
      <w:r w:rsidRPr="005A4AF0">
        <w:t xml:space="preserve">. </w:t>
      </w:r>
    </w:p>
    <w:p w14:paraId="764614B3" w14:textId="1E60823D" w:rsidR="00473BC4" w:rsidRPr="00473BC4" w:rsidRDefault="00473BC4" w:rsidP="00473BC4">
      <w:pPr>
        <w:pStyle w:val="VDIdate"/>
      </w:pPr>
      <w:r>
        <w:t xml:space="preserve">Publié dans laviedesidees.fr le </w:t>
      </w:r>
      <w:r w:rsidR="001A3E45">
        <w:t>6 juillet</w:t>
      </w:r>
      <w:r w:rsidR="001C5AFA">
        <w:t xml:space="preserve"> </w:t>
      </w:r>
      <w:r w:rsidR="008F323D">
        <w:t>2020</w:t>
      </w:r>
    </w:p>
    <w:sectPr w:rsidR="00473BC4" w:rsidRPr="00473BC4" w:rsidSect="00472187">
      <w:footerReference w:type="default" r:id="rId9"/>
      <w:headerReference w:type="first" r:id="rId10"/>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34E9B" w14:textId="77777777" w:rsidR="00D07043" w:rsidRDefault="00D07043">
      <w:r>
        <w:separator/>
      </w:r>
    </w:p>
  </w:endnote>
  <w:endnote w:type="continuationSeparator" w:id="0">
    <w:p w14:paraId="7E95028F" w14:textId="77777777" w:rsidR="00D07043" w:rsidRDefault="00D0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skerville">
    <w:panose1 w:val="02020502070401020303"/>
    <w:charset w:val="00"/>
    <w:family w:val="roman"/>
    <w:pitch w:val="variable"/>
    <w:sig w:usb0="80000067" w:usb1="02000000" w:usb2="00000000" w:usb3="00000000" w:csb0="0000019F" w:csb1="00000000"/>
  </w:font>
  <w:font w:name="Bitstream Charter">
    <w:altName w:val="MS Gothic"/>
    <w:panose1 w:val="020B0604020202020204"/>
    <w:charset w:val="80"/>
    <w:family w:val="roman"/>
    <w:pitch w:val="variable"/>
  </w:font>
  <w:font w:name="Adobe Caslon Pro">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Corps CS)">
    <w:altName w:val="Arial"/>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E65ED" w14:textId="77777777" w:rsidR="005A105D" w:rsidRDefault="005A105D">
    <w:pPr>
      <w:pStyle w:val="Pieddepage"/>
      <w:tabs>
        <w:tab w:val="clear" w:pos="9072"/>
        <w:tab w:val="right" w:pos="9044"/>
      </w:tabs>
      <w:jc w:val="right"/>
    </w:pPr>
    <w:r>
      <w:fldChar w:fldCharType="begin"/>
    </w:r>
    <w:r>
      <w:instrText xml:space="preserve"> PAGE </w:instrText>
    </w:r>
    <w:r>
      <w:fldChar w:fldCharType="separate"/>
    </w:r>
    <w:r w:rsidR="00865D74">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8FECA" w14:textId="77777777" w:rsidR="00D07043" w:rsidRDefault="00D07043">
      <w:r>
        <w:separator/>
      </w:r>
    </w:p>
  </w:footnote>
  <w:footnote w:type="continuationSeparator" w:id="0">
    <w:p w14:paraId="50734BC1" w14:textId="77777777" w:rsidR="00D07043" w:rsidRDefault="00D07043">
      <w:r>
        <w:continuationSeparator/>
      </w:r>
    </w:p>
  </w:footnote>
  <w:footnote w:id="1">
    <w:p w14:paraId="4B38B8AD" w14:textId="77777777" w:rsidR="001C5AFA" w:rsidRPr="00323BE1" w:rsidRDefault="001C5AFA" w:rsidP="001A3E45">
      <w:pPr>
        <w:pStyle w:val="Notedebasdepage"/>
      </w:pPr>
      <w:r w:rsidRPr="00323BE1">
        <w:rPr>
          <w:rStyle w:val="Appelnotedebasdep"/>
          <w:rFonts w:ascii="Times" w:hAnsi="Times"/>
        </w:rPr>
        <w:footnoteRef/>
      </w:r>
      <w:r w:rsidRPr="00323BE1">
        <w:t xml:space="preserve"> Selon Himmler, la conquête de Vienne aurait ouvert l’Europe à l’islam et </w:t>
      </w:r>
      <w:r>
        <w:t>évité</w:t>
      </w:r>
      <w:r w:rsidRPr="00323BE1">
        <w:t xml:space="preserve"> à l’Allemagne une perpétuelle tragédie liée à l’hégémonie du christianisme. </w:t>
      </w:r>
    </w:p>
  </w:footnote>
  <w:footnote w:id="2">
    <w:p w14:paraId="5A11AA13" w14:textId="73A2F2BC" w:rsidR="001C5AFA" w:rsidRPr="00323BE1" w:rsidRDefault="001C5AFA" w:rsidP="0054273A">
      <w:pPr>
        <w:pStyle w:val="Notedebasdepage"/>
      </w:pPr>
      <w:r w:rsidRPr="00323BE1">
        <w:rPr>
          <w:rStyle w:val="Appelnotedebasdep"/>
          <w:rFonts w:ascii="Times" w:hAnsi="Times"/>
        </w:rPr>
        <w:footnoteRef/>
      </w:r>
      <w:r w:rsidRPr="00323BE1">
        <w:t xml:space="preserve"> </w:t>
      </w:r>
      <w:proofErr w:type="spellStart"/>
      <w:r w:rsidRPr="00323BE1">
        <w:t>Oissila</w:t>
      </w:r>
      <w:proofErr w:type="spellEnd"/>
      <w:r w:rsidRPr="00323BE1">
        <w:t xml:space="preserve"> </w:t>
      </w:r>
      <w:proofErr w:type="spellStart"/>
      <w:r w:rsidRPr="00323BE1">
        <w:t>Saaidia</w:t>
      </w:r>
      <w:proofErr w:type="spellEnd"/>
      <w:r w:rsidRPr="00323BE1">
        <w:t xml:space="preserve">, </w:t>
      </w:r>
      <w:r w:rsidRPr="0054273A">
        <w:rPr>
          <w:i/>
          <w:iCs/>
        </w:rPr>
        <w:t>Algérie coloniale. Musulmans et chrétiens : le contrôle de l’État (1830-1914)</w:t>
      </w:r>
      <w:r w:rsidRPr="00323BE1">
        <w:t xml:space="preserve">, CNRS éditions,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98CD7" w14:textId="77777777" w:rsidR="005A105D" w:rsidRDefault="005A105D" w:rsidP="007A1268">
    <w:pPr>
      <w:pStyle w:val="En-tte"/>
      <w:jc w:val="both"/>
    </w:pPr>
    <w:r w:rsidRPr="007A1268">
      <w:rPr>
        <w:noProof/>
      </w:rPr>
      <w:drawing>
        <wp:inline distT="0" distB="0" distL="0" distR="0" wp14:anchorId="0C7684F3" wp14:editId="39D72443">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1C79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F9E3B8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EC8835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03446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C8EB8F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1C4CB3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C9CBD6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FC2A2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020E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68A0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D3923464"/>
    <w:name w:val="WW8Num1"/>
    <w:lvl w:ilvl="0">
      <w:start w:val="1"/>
      <w:numFmt w:val="decimal"/>
      <w:lvlText w:val="%1."/>
      <w:lvlJc w:val="left"/>
      <w:pPr>
        <w:tabs>
          <w:tab w:val="num" w:pos="720"/>
        </w:tabs>
        <w:ind w:left="720" w:hanging="360"/>
      </w:pPr>
      <w:rPr>
        <w:rFonts w:ascii="Baskerville" w:eastAsia="Baskerville" w:hAnsi="Baskerville" w:cs="Bitstream Charte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940B3A"/>
    <w:multiLevelType w:val="hybridMultilevel"/>
    <w:tmpl w:val="CDCCA56C"/>
    <w:lvl w:ilvl="0" w:tplc="61DE202E">
      <w:start w:val="1"/>
      <w:numFmt w:val="bullet"/>
      <w:lvlText w:val="-"/>
      <w:lvlJc w:val="left"/>
      <w:pPr>
        <w:ind w:left="720" w:hanging="360"/>
      </w:pPr>
      <w:rPr>
        <w:rFonts w:ascii="Baskerville" w:eastAsia="Baskerville" w:hAnsi="Baskerville" w:cs="Bitstream Charter"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 w:numId="14">
    <w:abstractNumId w:val="1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0C90"/>
    <w:rsid w:val="0000797A"/>
    <w:rsid w:val="00007F5F"/>
    <w:rsid w:val="00031798"/>
    <w:rsid w:val="00033684"/>
    <w:rsid w:val="00035490"/>
    <w:rsid w:val="000462B1"/>
    <w:rsid w:val="00067E95"/>
    <w:rsid w:val="00076CDA"/>
    <w:rsid w:val="000808D5"/>
    <w:rsid w:val="000864BD"/>
    <w:rsid w:val="000C1FDE"/>
    <w:rsid w:val="000C3EA2"/>
    <w:rsid w:val="000C55F5"/>
    <w:rsid w:val="000D1ADD"/>
    <w:rsid w:val="000E1207"/>
    <w:rsid w:val="000F2D7B"/>
    <w:rsid w:val="00100FDE"/>
    <w:rsid w:val="001437A3"/>
    <w:rsid w:val="0016371C"/>
    <w:rsid w:val="00180EF3"/>
    <w:rsid w:val="001A3E45"/>
    <w:rsid w:val="001A60CD"/>
    <w:rsid w:val="001B1197"/>
    <w:rsid w:val="001B22FA"/>
    <w:rsid w:val="001C0661"/>
    <w:rsid w:val="001C5AFA"/>
    <w:rsid w:val="001E1422"/>
    <w:rsid w:val="001E233F"/>
    <w:rsid w:val="001E4C4E"/>
    <w:rsid w:val="001F0A42"/>
    <w:rsid w:val="001F1831"/>
    <w:rsid w:val="00201FAC"/>
    <w:rsid w:val="002319CA"/>
    <w:rsid w:val="00235E33"/>
    <w:rsid w:val="002523FE"/>
    <w:rsid w:val="00276EE2"/>
    <w:rsid w:val="00283507"/>
    <w:rsid w:val="002875C5"/>
    <w:rsid w:val="00292A29"/>
    <w:rsid w:val="002F4EFA"/>
    <w:rsid w:val="00345359"/>
    <w:rsid w:val="003616E4"/>
    <w:rsid w:val="00370594"/>
    <w:rsid w:val="003A3728"/>
    <w:rsid w:val="003B1DDC"/>
    <w:rsid w:val="003E3018"/>
    <w:rsid w:val="003E38A1"/>
    <w:rsid w:val="00411810"/>
    <w:rsid w:val="00420691"/>
    <w:rsid w:val="00424A7A"/>
    <w:rsid w:val="00427A80"/>
    <w:rsid w:val="004316DF"/>
    <w:rsid w:val="00437286"/>
    <w:rsid w:val="00440B6F"/>
    <w:rsid w:val="00463500"/>
    <w:rsid w:val="00472187"/>
    <w:rsid w:val="00473BC4"/>
    <w:rsid w:val="00481F8F"/>
    <w:rsid w:val="004B20EE"/>
    <w:rsid w:val="004C0FB5"/>
    <w:rsid w:val="004D6529"/>
    <w:rsid w:val="004E7418"/>
    <w:rsid w:val="004F57E5"/>
    <w:rsid w:val="005069BE"/>
    <w:rsid w:val="0053174B"/>
    <w:rsid w:val="0054181B"/>
    <w:rsid w:val="0054273A"/>
    <w:rsid w:val="0055353D"/>
    <w:rsid w:val="005A105D"/>
    <w:rsid w:val="005A77EA"/>
    <w:rsid w:val="005C1FC5"/>
    <w:rsid w:val="005C5829"/>
    <w:rsid w:val="005D712E"/>
    <w:rsid w:val="005F1D91"/>
    <w:rsid w:val="00604921"/>
    <w:rsid w:val="00611280"/>
    <w:rsid w:val="00612B0E"/>
    <w:rsid w:val="00617961"/>
    <w:rsid w:val="00624FDA"/>
    <w:rsid w:val="00625476"/>
    <w:rsid w:val="006265EC"/>
    <w:rsid w:val="00632336"/>
    <w:rsid w:val="0063372A"/>
    <w:rsid w:val="006432B1"/>
    <w:rsid w:val="00665400"/>
    <w:rsid w:val="00681218"/>
    <w:rsid w:val="006B1EA0"/>
    <w:rsid w:val="006C66F9"/>
    <w:rsid w:val="007204D2"/>
    <w:rsid w:val="0072515D"/>
    <w:rsid w:val="007275C7"/>
    <w:rsid w:val="0073080B"/>
    <w:rsid w:val="00735BDC"/>
    <w:rsid w:val="00740D4F"/>
    <w:rsid w:val="00753D01"/>
    <w:rsid w:val="007701E0"/>
    <w:rsid w:val="007922AF"/>
    <w:rsid w:val="00792FBC"/>
    <w:rsid w:val="007A1268"/>
    <w:rsid w:val="007A5653"/>
    <w:rsid w:val="007B5D97"/>
    <w:rsid w:val="007C2A2E"/>
    <w:rsid w:val="007C72BE"/>
    <w:rsid w:val="007E729E"/>
    <w:rsid w:val="007F18AD"/>
    <w:rsid w:val="00802165"/>
    <w:rsid w:val="00803108"/>
    <w:rsid w:val="008203AE"/>
    <w:rsid w:val="00825C8F"/>
    <w:rsid w:val="00865D74"/>
    <w:rsid w:val="00865FAE"/>
    <w:rsid w:val="008820D6"/>
    <w:rsid w:val="00882F40"/>
    <w:rsid w:val="008C7D8A"/>
    <w:rsid w:val="008D57AB"/>
    <w:rsid w:val="008E46DD"/>
    <w:rsid w:val="008E5CFF"/>
    <w:rsid w:val="008F323D"/>
    <w:rsid w:val="00904F3A"/>
    <w:rsid w:val="009243CE"/>
    <w:rsid w:val="0093606A"/>
    <w:rsid w:val="009403BD"/>
    <w:rsid w:val="0096092E"/>
    <w:rsid w:val="00961394"/>
    <w:rsid w:val="0098253B"/>
    <w:rsid w:val="009A5FD5"/>
    <w:rsid w:val="009F38EB"/>
    <w:rsid w:val="009F57ED"/>
    <w:rsid w:val="00A11CEE"/>
    <w:rsid w:val="00A15EFA"/>
    <w:rsid w:val="00A25C20"/>
    <w:rsid w:val="00A8533B"/>
    <w:rsid w:val="00A8559A"/>
    <w:rsid w:val="00A9074C"/>
    <w:rsid w:val="00A925EA"/>
    <w:rsid w:val="00AD101D"/>
    <w:rsid w:val="00AD258A"/>
    <w:rsid w:val="00AE08CB"/>
    <w:rsid w:val="00AE4248"/>
    <w:rsid w:val="00AF3CF6"/>
    <w:rsid w:val="00B05675"/>
    <w:rsid w:val="00B24251"/>
    <w:rsid w:val="00B83048"/>
    <w:rsid w:val="00B86AAC"/>
    <w:rsid w:val="00B86FBF"/>
    <w:rsid w:val="00B90D39"/>
    <w:rsid w:val="00BA122A"/>
    <w:rsid w:val="00BB0030"/>
    <w:rsid w:val="00BB1A65"/>
    <w:rsid w:val="00BB5C99"/>
    <w:rsid w:val="00BC76CE"/>
    <w:rsid w:val="00C35861"/>
    <w:rsid w:val="00C4159A"/>
    <w:rsid w:val="00C44BCE"/>
    <w:rsid w:val="00C65E49"/>
    <w:rsid w:val="00C71D32"/>
    <w:rsid w:val="00C92AF8"/>
    <w:rsid w:val="00C95EE4"/>
    <w:rsid w:val="00CA4E07"/>
    <w:rsid w:val="00CA54CB"/>
    <w:rsid w:val="00CA6A71"/>
    <w:rsid w:val="00CC199F"/>
    <w:rsid w:val="00CD2835"/>
    <w:rsid w:val="00CD4D52"/>
    <w:rsid w:val="00CE3519"/>
    <w:rsid w:val="00CE415E"/>
    <w:rsid w:val="00D03000"/>
    <w:rsid w:val="00D05325"/>
    <w:rsid w:val="00D06258"/>
    <w:rsid w:val="00D07043"/>
    <w:rsid w:val="00D128B5"/>
    <w:rsid w:val="00D1716E"/>
    <w:rsid w:val="00D36E4C"/>
    <w:rsid w:val="00D71999"/>
    <w:rsid w:val="00D85E7E"/>
    <w:rsid w:val="00D85FB6"/>
    <w:rsid w:val="00D86105"/>
    <w:rsid w:val="00D9144D"/>
    <w:rsid w:val="00D960E5"/>
    <w:rsid w:val="00D97019"/>
    <w:rsid w:val="00DA1B1B"/>
    <w:rsid w:val="00DC6878"/>
    <w:rsid w:val="00DE7787"/>
    <w:rsid w:val="00DF040B"/>
    <w:rsid w:val="00DF1D51"/>
    <w:rsid w:val="00DF54FA"/>
    <w:rsid w:val="00E213B0"/>
    <w:rsid w:val="00E248D4"/>
    <w:rsid w:val="00E338B0"/>
    <w:rsid w:val="00E623AC"/>
    <w:rsid w:val="00E64949"/>
    <w:rsid w:val="00E73042"/>
    <w:rsid w:val="00E82115"/>
    <w:rsid w:val="00E90020"/>
    <w:rsid w:val="00E957F2"/>
    <w:rsid w:val="00EB67A2"/>
    <w:rsid w:val="00ED5C35"/>
    <w:rsid w:val="00EE1383"/>
    <w:rsid w:val="00F0225B"/>
    <w:rsid w:val="00F0353B"/>
    <w:rsid w:val="00F049B7"/>
    <w:rsid w:val="00F12340"/>
    <w:rsid w:val="00F26986"/>
    <w:rsid w:val="00F35B05"/>
    <w:rsid w:val="00F41530"/>
    <w:rsid w:val="00F43C5F"/>
    <w:rsid w:val="00F606F9"/>
    <w:rsid w:val="00F607AA"/>
    <w:rsid w:val="00F820BC"/>
    <w:rsid w:val="00FA3847"/>
    <w:rsid w:val="00FB0063"/>
    <w:rsid w:val="00FF2B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F3BE74"/>
  <w15:docId w15:val="{FDCD7727-9CC9-994D-B3A2-B06C012A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72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style>
  <w:style w:type="paragraph" w:styleId="Titre1">
    <w:name w:val="heading 1"/>
    <w:basedOn w:val="Normal"/>
    <w:next w:val="Normal"/>
    <w:link w:val="Titre1Car"/>
    <w:uiPriority w:val="9"/>
    <w:qFormat/>
    <w:rsid w:val="00201FAC"/>
    <w:pPr>
      <w:keepNext/>
      <w:keepLines/>
      <w:spacing w:before="480" w:line="360" w:lineRule="auto"/>
      <w:outlineLvl w:val="0"/>
    </w:pPr>
    <w:rPr>
      <w:rFonts w:asciiTheme="majorHAnsi" w:eastAsiaTheme="majorEastAsia" w:hAnsiTheme="majorHAnsi" w:cstheme="majorBidi"/>
      <w:b/>
      <w:bCs/>
      <w:color w:val="000000" w:themeColor="tex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link w:val="TitreCar"/>
    <w:uiPriority w:val="10"/>
    <w:qFormat/>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link w:val="Sous-titreCar"/>
    <w:qFormat/>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eastAsia="Times New Roman" w:hAnsi="Adobe Caslon Pro" w:cs="Times New Roman"/>
      <w:color w:val="4787A7"/>
      <w:sz w:val="28"/>
      <w:szCs w:val="28"/>
      <w:shd w:val="clear" w:color="auto" w:fill="FFFFFF"/>
      <w:lang w:eastAsia="fr-FR"/>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qFormat/>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cs="Times New Roman"/>
      <w:sz w:val="20"/>
      <w:szCs w:val="20"/>
      <w:bdr w:val="nil"/>
    </w:rPr>
  </w:style>
  <w:style w:type="character" w:customStyle="1" w:styleId="NotedebasdepageCar">
    <w:name w:val="Note de bas de page Car"/>
    <w:aliases w:val="VDI Note de bas de page Car"/>
    <w:basedOn w:val="Policepardfaut"/>
    <w:link w:val="Notedebasdepage"/>
    <w:uiPriority w:val="99"/>
    <w:qFormat/>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paragraph" w:styleId="Notedefin">
    <w:name w:val="endnote text"/>
    <w:basedOn w:val="Normal"/>
    <w:link w:val="NotedefinCar"/>
    <w:uiPriority w:val="99"/>
    <w:unhideWhenUsed/>
    <w:rsid w:val="00F41530"/>
    <w:rPr>
      <w:rFonts w:eastAsiaTheme="minorEastAsia"/>
    </w:rPr>
  </w:style>
  <w:style w:type="character" w:customStyle="1" w:styleId="NotedefinCar">
    <w:name w:val="Note de fin Car"/>
    <w:basedOn w:val="Policepardfaut"/>
    <w:link w:val="Notedefin"/>
    <w:uiPriority w:val="99"/>
    <w:rsid w:val="00F41530"/>
    <w:rPr>
      <w:rFonts w:asciiTheme="minorHAnsi" w:eastAsiaTheme="minorEastAsia" w:hAnsiTheme="minorHAnsi" w:cstheme="minorBidi"/>
      <w:sz w:val="24"/>
      <w:szCs w:val="24"/>
      <w:bdr w:val="none" w:sz="0" w:space="0" w:color="auto"/>
      <w:lang w:eastAsia="en-US"/>
    </w:rPr>
  </w:style>
  <w:style w:type="paragraph" w:styleId="Textedebulles">
    <w:name w:val="Balloon Text"/>
    <w:basedOn w:val="Normal"/>
    <w:link w:val="TextedebullesCar"/>
    <w:uiPriority w:val="99"/>
    <w:semiHidden/>
    <w:unhideWhenUsed/>
    <w:rsid w:val="002875C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875C5"/>
    <w:rPr>
      <w:rFonts w:ascii="Lucida Grande" w:eastAsiaTheme="minorHAnsi" w:hAnsi="Lucida Grande" w:cs="Lucida Grande"/>
      <w:sz w:val="18"/>
      <w:szCs w:val="18"/>
      <w:bdr w:val="none" w:sz="0" w:space="0" w:color="auto"/>
      <w:lang w:eastAsia="en-US"/>
    </w:rPr>
  </w:style>
  <w:style w:type="character" w:customStyle="1" w:styleId="st">
    <w:name w:val="st"/>
    <w:rsid w:val="00AE08CB"/>
  </w:style>
  <w:style w:type="character" w:customStyle="1" w:styleId="Titre1Car">
    <w:name w:val="Titre 1 Car"/>
    <w:basedOn w:val="Policepardfaut"/>
    <w:link w:val="Titre1"/>
    <w:uiPriority w:val="9"/>
    <w:rsid w:val="00201FAC"/>
    <w:rPr>
      <w:rFonts w:asciiTheme="majorHAnsi" w:eastAsiaTheme="majorEastAsia" w:hAnsiTheme="majorHAnsi" w:cstheme="majorBidi"/>
      <w:b/>
      <w:bCs/>
      <w:color w:val="000000" w:themeColor="text1"/>
      <w:sz w:val="28"/>
      <w:szCs w:val="28"/>
      <w:bdr w:val="none" w:sz="0" w:space="0" w:color="auto"/>
      <w:lang w:eastAsia="en-US"/>
    </w:rPr>
  </w:style>
  <w:style w:type="character" w:customStyle="1" w:styleId="TitreCar">
    <w:name w:val="Titre Car"/>
    <w:basedOn w:val="Policepardfaut"/>
    <w:link w:val="Titre"/>
    <w:uiPriority w:val="10"/>
    <w:rsid w:val="00201FAC"/>
    <w:rPr>
      <w:rFonts w:ascii="Helvetica" w:hAnsi="Helvetica" w:cs="Arial Unicode MS"/>
      <w:b/>
      <w:bCs/>
      <w:color w:val="000000"/>
      <w:sz w:val="60"/>
      <w:szCs w:val="60"/>
    </w:rPr>
  </w:style>
  <w:style w:type="character" w:styleId="Marquedecommentaire">
    <w:name w:val="annotation reference"/>
    <w:basedOn w:val="Policepardfaut"/>
    <w:uiPriority w:val="99"/>
    <w:semiHidden/>
    <w:unhideWhenUsed/>
    <w:rsid w:val="00201FAC"/>
    <w:rPr>
      <w:sz w:val="16"/>
      <w:szCs w:val="16"/>
    </w:rPr>
  </w:style>
  <w:style w:type="paragraph" w:styleId="Commentaire">
    <w:name w:val="annotation text"/>
    <w:basedOn w:val="Normal"/>
    <w:link w:val="CommentaireCar"/>
    <w:uiPriority w:val="99"/>
    <w:unhideWhenUsed/>
    <w:rsid w:val="00201FAC"/>
    <w:rPr>
      <w:sz w:val="20"/>
      <w:szCs w:val="20"/>
    </w:rPr>
  </w:style>
  <w:style w:type="character" w:customStyle="1" w:styleId="CommentaireCar">
    <w:name w:val="Commentaire Car"/>
    <w:basedOn w:val="Policepardfaut"/>
    <w:link w:val="Commentaire"/>
    <w:uiPriority w:val="99"/>
    <w:rsid w:val="00201FAC"/>
    <w:rPr>
      <w:rFonts w:asciiTheme="minorHAnsi" w:eastAsiaTheme="minorHAnsi" w:hAnsiTheme="minorHAnsi" w:cstheme="minorBidi"/>
      <w:bdr w:val="none" w:sz="0" w:space="0" w:color="auto"/>
      <w:lang w:eastAsia="en-US"/>
    </w:rPr>
  </w:style>
  <w:style w:type="paragraph" w:styleId="Objetducommentaire">
    <w:name w:val="annotation subject"/>
    <w:basedOn w:val="Commentaire"/>
    <w:next w:val="Commentaire"/>
    <w:link w:val="ObjetducommentaireCar"/>
    <w:uiPriority w:val="99"/>
    <w:semiHidden/>
    <w:unhideWhenUsed/>
    <w:rsid w:val="00201FAC"/>
    <w:rPr>
      <w:b/>
      <w:bCs/>
    </w:rPr>
  </w:style>
  <w:style w:type="character" w:customStyle="1" w:styleId="ObjetducommentaireCar">
    <w:name w:val="Objet du commentaire Car"/>
    <w:basedOn w:val="CommentaireCar"/>
    <w:link w:val="Objetducommentaire"/>
    <w:uiPriority w:val="99"/>
    <w:semiHidden/>
    <w:rsid w:val="00201FAC"/>
    <w:rPr>
      <w:rFonts w:asciiTheme="minorHAnsi" w:eastAsiaTheme="minorHAnsi" w:hAnsiTheme="minorHAnsi" w:cstheme="minorBidi"/>
      <w:b/>
      <w:bCs/>
      <w:bdr w:val="none" w:sz="0" w:space="0" w:color="auto"/>
      <w:lang w:eastAsia="en-US"/>
    </w:rPr>
  </w:style>
  <w:style w:type="character" w:customStyle="1" w:styleId="uppercase">
    <w:name w:val="uppercase"/>
    <w:basedOn w:val="Policepardfaut"/>
    <w:rsid w:val="0054181B"/>
  </w:style>
  <w:style w:type="paragraph" w:styleId="NormalWeb">
    <w:name w:val="Normal (Web)"/>
    <w:basedOn w:val="Normal"/>
    <w:uiPriority w:val="99"/>
    <w:semiHidden/>
    <w:unhideWhenUsed/>
    <w:rsid w:val="0054181B"/>
    <w:pPr>
      <w:spacing w:before="100" w:beforeAutospacing="1" w:after="100" w:afterAutospacing="1"/>
    </w:pPr>
    <w:rPr>
      <w:rFonts w:ascii="Times New Roman" w:eastAsia="Times New Roman" w:hAnsi="Times New Roman" w:cs="Times New Roman"/>
      <w:lang w:eastAsia="fr-FR"/>
    </w:rPr>
  </w:style>
  <w:style w:type="paragraph" w:customStyle="1" w:styleId="Normal1">
    <w:name w:val="Normal1"/>
    <w:rsid w:val="00473BC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character" w:customStyle="1" w:styleId="Caractresdenotedebasdepage">
    <w:name w:val="Caractères de note de bas de page"/>
    <w:qFormat/>
    <w:rsid w:val="006C66F9"/>
  </w:style>
  <w:style w:type="character" w:customStyle="1" w:styleId="FootnoteCharacters">
    <w:name w:val="Footnote Characters"/>
    <w:rsid w:val="002523FE"/>
    <w:rPr>
      <w:vertAlign w:val="superscript"/>
    </w:rPr>
  </w:style>
  <w:style w:type="character" w:customStyle="1" w:styleId="Marquedecommentaire1">
    <w:name w:val="Marque de commentaire1"/>
    <w:rsid w:val="002523FE"/>
    <w:rPr>
      <w:sz w:val="16"/>
      <w:szCs w:val="16"/>
    </w:rPr>
  </w:style>
  <w:style w:type="character" w:customStyle="1" w:styleId="Sous-titreCar">
    <w:name w:val="Sous-titre Car"/>
    <w:basedOn w:val="Policepardfaut"/>
    <w:link w:val="Sous-titre"/>
    <w:rsid w:val="002523FE"/>
    <w:rPr>
      <w:rFonts w:ascii="Helvetica" w:hAnsi="Helvetica" w:cs="Arial Unicode MS"/>
      <w:color w:val="000000"/>
      <w:sz w:val="40"/>
      <w:szCs w:val="40"/>
    </w:rPr>
  </w:style>
  <w:style w:type="character" w:customStyle="1" w:styleId="LienInternet">
    <w:name w:val="Lien Internet"/>
    <w:basedOn w:val="Policepardfaut"/>
    <w:rsid w:val="002319CA"/>
    <w:rPr>
      <w:color w:val="0563C1"/>
      <w:u w:val="single"/>
    </w:rPr>
  </w:style>
  <w:style w:type="character" w:customStyle="1" w:styleId="Ancredenotedebasdepage">
    <w:name w:val="Ancre de note de bas de page"/>
    <w:rsid w:val="002319CA"/>
    <w:rPr>
      <w:vertAlign w:val="superscript"/>
    </w:rPr>
  </w:style>
  <w:style w:type="table" w:styleId="Grilledutableau">
    <w:name w:val="Table Grid"/>
    <w:basedOn w:val="TableauNormal"/>
    <w:uiPriority w:val="59"/>
    <w:rsid w:val="00FA38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494493926">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048331292">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BDD5E4E-EE2C-3C4C-B6ED-4542BC94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1775</Words>
  <Characters>10313</Characters>
  <Application>Microsoft Office Word</Application>
  <DocSecurity>0</DocSecurity>
  <Lines>135</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Utilisateur Microsoft Office</cp:lastModifiedBy>
  <cp:revision>4</cp:revision>
  <dcterms:created xsi:type="dcterms:W3CDTF">2020-03-21T08:35:00Z</dcterms:created>
  <dcterms:modified xsi:type="dcterms:W3CDTF">2020-07-02T13:47:00Z</dcterms:modified>
</cp:coreProperties>
</file>