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C7C71" w14:textId="77777777" w:rsidR="0063372A" w:rsidRDefault="0063372A" w:rsidP="0063372A">
      <w:pPr>
        <w:outlineLvl w:val="0"/>
        <w:rPr>
          <w:rFonts w:ascii="Times" w:hAnsi="Times"/>
        </w:rPr>
      </w:pPr>
    </w:p>
    <w:p w14:paraId="001EB20D" w14:textId="1DFC9D25" w:rsidR="00E75C6B" w:rsidRPr="00C76BEB" w:rsidRDefault="008F50DA" w:rsidP="00E75C6B">
      <w:pPr>
        <w:pStyle w:val="VDITitre"/>
      </w:pPr>
      <w:r>
        <w:t>L’histoire dans l’Histoire</w:t>
      </w:r>
    </w:p>
    <w:p w14:paraId="2D6BB0BC" w14:textId="7859E84E" w:rsidR="00E75C6B" w:rsidRPr="0093614C" w:rsidRDefault="008B1967" w:rsidP="0093614C">
      <w:pPr>
        <w:pStyle w:val="VDIAuteur"/>
      </w:pPr>
      <w:proofErr w:type="gramStart"/>
      <w:r>
        <w:t>p</w:t>
      </w:r>
      <w:r w:rsidR="00E75C6B" w:rsidRPr="00C76BEB">
        <w:t>ar</w:t>
      </w:r>
      <w:proofErr w:type="gramEnd"/>
      <w:r w:rsidR="00E75C6B" w:rsidRPr="00C76BEB">
        <w:t xml:space="preserve"> </w:t>
      </w:r>
      <w:r w:rsidR="0093614C">
        <w:t xml:space="preserve">Camille </w:t>
      </w:r>
      <w:proofErr w:type="spellStart"/>
      <w:r w:rsidR="0093614C">
        <w:t>Creyghton</w:t>
      </w:r>
      <w:proofErr w:type="spellEnd"/>
    </w:p>
    <w:p w14:paraId="1767E428" w14:textId="30EA6DA0" w:rsidR="00E75C6B" w:rsidRPr="0034118B" w:rsidRDefault="0034118B" w:rsidP="00E75C6B">
      <w:pPr>
        <w:pStyle w:val="VDIChapo"/>
        <w:rPr>
          <w:lang w:val="fr-FR"/>
        </w:rPr>
      </w:pPr>
      <w:r>
        <w:rPr>
          <w:lang w:val="fr-FR"/>
        </w:rPr>
        <w:t xml:space="preserve">De la guerre de trente ans à la période nazie en passant par Frédéric II et Bismarck, </w:t>
      </w:r>
      <w:r w:rsidRPr="0034118B">
        <w:rPr>
          <w:lang w:val="fr-FR"/>
        </w:rPr>
        <w:t>C</w:t>
      </w:r>
      <w:r>
        <w:rPr>
          <w:lang w:val="fr-FR"/>
        </w:rPr>
        <w:t>hristopher Clark étudie la conception que se faisaient de l’histoire les hommes politiques allemands. Une étape importante dans les recherches sur la temporalité et l’histoire des idées politiques.</w:t>
      </w:r>
    </w:p>
    <w:p w14:paraId="4DB43C8A" w14:textId="700FEE29" w:rsidR="00682346" w:rsidRPr="0034118B" w:rsidRDefault="00E75C6B" w:rsidP="0034118B">
      <w:pPr>
        <w:pStyle w:val="VDIRecens"/>
        <w:rPr>
          <w:lang w:val="en-US"/>
        </w:rPr>
      </w:pPr>
      <w:r w:rsidRPr="00004161">
        <w:rPr>
          <w:lang w:val="en-US"/>
        </w:rPr>
        <w:t xml:space="preserve">À </w:t>
      </w:r>
      <w:proofErr w:type="spellStart"/>
      <w:r w:rsidRPr="00004161">
        <w:rPr>
          <w:lang w:val="en-US"/>
        </w:rPr>
        <w:t>propos</w:t>
      </w:r>
      <w:proofErr w:type="spellEnd"/>
      <w:r w:rsidRPr="00004161">
        <w:rPr>
          <w:lang w:val="en-US"/>
        </w:rPr>
        <w:t xml:space="preserve"> </w:t>
      </w:r>
      <w:proofErr w:type="gramStart"/>
      <w:r w:rsidRPr="00004161">
        <w:rPr>
          <w:lang w:val="en-US"/>
        </w:rPr>
        <w:t>de :</w:t>
      </w:r>
      <w:proofErr w:type="gramEnd"/>
      <w:r w:rsidR="008B1967" w:rsidRPr="00004161">
        <w:rPr>
          <w:lang w:val="en-US"/>
        </w:rPr>
        <w:t xml:space="preserve"> </w:t>
      </w:r>
      <w:r w:rsidR="00682346" w:rsidRPr="00004161">
        <w:rPr>
          <w:szCs w:val="22"/>
          <w:lang w:val="en-US"/>
        </w:rPr>
        <w:t xml:space="preserve">Christopher Clark, </w:t>
      </w:r>
      <w:r w:rsidR="00682346" w:rsidRPr="00004161">
        <w:rPr>
          <w:i/>
          <w:iCs/>
          <w:szCs w:val="22"/>
          <w:lang w:val="en-US"/>
        </w:rPr>
        <w:t xml:space="preserve">Time and Power. </w:t>
      </w:r>
      <w:r w:rsidR="00682346" w:rsidRPr="00FC5754">
        <w:rPr>
          <w:i/>
          <w:iCs/>
          <w:szCs w:val="22"/>
          <w:lang w:val="en-US"/>
        </w:rPr>
        <w:t>Visions of History in German Politics, from the Thirty Year’s War to the Third Reich</w:t>
      </w:r>
      <w:r w:rsidR="00682346" w:rsidRPr="00FC5754">
        <w:rPr>
          <w:szCs w:val="22"/>
          <w:lang w:val="en-US"/>
        </w:rPr>
        <w:t>, Princeton et Oxford, Princeton University Press, 2019.</w:t>
      </w:r>
    </w:p>
    <w:p w14:paraId="47C0630D" w14:textId="10F27C95" w:rsidR="00682346" w:rsidRPr="00004161" w:rsidRDefault="00682346" w:rsidP="00004161">
      <w:pPr>
        <w:pStyle w:val="Corps"/>
      </w:pPr>
      <w:r w:rsidRPr="003217C0">
        <w:t>Dans sa récente étude des conceptions d</w:t>
      </w:r>
      <w:r>
        <w:t>e l</w:t>
      </w:r>
      <w:r w:rsidRPr="003217C0">
        <w:t>’historicité en Allemagne</w:t>
      </w:r>
      <w:r>
        <w:t>,</w:t>
      </w:r>
      <w:r w:rsidRPr="003217C0">
        <w:t xml:space="preserve"> de</w:t>
      </w:r>
      <w:r>
        <w:t>puis</w:t>
      </w:r>
      <w:r w:rsidRPr="003217C0">
        <w:t xml:space="preserve"> la </w:t>
      </w:r>
      <w:r>
        <w:t>g</w:t>
      </w:r>
      <w:r w:rsidRPr="003217C0">
        <w:t xml:space="preserve">uerre de Trente Ans jusqu’au Troisième Reich, l’historien Christopher Clark </w:t>
      </w:r>
      <w:r>
        <w:t>analyse l’articulation entre</w:t>
      </w:r>
      <w:r w:rsidRPr="003217C0">
        <w:t xml:space="preserve"> l’histoire des temporalités </w:t>
      </w:r>
      <w:r>
        <w:t>et celle</w:t>
      </w:r>
      <w:r w:rsidRPr="003217C0">
        <w:t xml:space="preserve"> des idées politiques. En </w:t>
      </w:r>
      <w:r>
        <w:t>sou</w:t>
      </w:r>
      <w:r w:rsidRPr="003217C0">
        <w:t>mettant à l’</w:t>
      </w:r>
      <w:r>
        <w:t>épreuve</w:t>
      </w:r>
      <w:r w:rsidRPr="003217C0">
        <w:t xml:space="preserve"> empirique les théories de </w:t>
      </w:r>
      <w:proofErr w:type="spellStart"/>
      <w:r w:rsidRPr="003217C0">
        <w:t>Reinhart</w:t>
      </w:r>
      <w:proofErr w:type="spellEnd"/>
      <w:r w:rsidRPr="003217C0">
        <w:t xml:space="preserve"> </w:t>
      </w:r>
      <w:proofErr w:type="spellStart"/>
      <w:r w:rsidRPr="003217C0">
        <w:t>Koselleck</w:t>
      </w:r>
      <w:proofErr w:type="spellEnd"/>
      <w:r w:rsidRPr="003217C0">
        <w:t xml:space="preserve"> et </w:t>
      </w:r>
      <w:r>
        <w:t xml:space="preserve">de </w:t>
      </w:r>
      <w:r w:rsidRPr="003217C0">
        <w:t xml:space="preserve">François </w:t>
      </w:r>
      <w:proofErr w:type="spellStart"/>
      <w:r w:rsidRPr="003217C0">
        <w:t>Hartog</w:t>
      </w:r>
      <w:proofErr w:type="spellEnd"/>
      <w:r>
        <w:t xml:space="preserve"> </w:t>
      </w:r>
      <w:r w:rsidRPr="003217C0">
        <w:t>sur la temporalité et l’historicité,</w:t>
      </w:r>
      <w:r w:rsidRPr="00EF3BE2">
        <w:t xml:space="preserve"> </w:t>
      </w:r>
      <w:r>
        <w:t>i</w:t>
      </w:r>
      <w:r w:rsidRPr="007F5569">
        <w:t>l montre comment la conception qu’ont les acteurs politiques</w:t>
      </w:r>
      <w:r>
        <w:t xml:space="preserve"> </w:t>
      </w:r>
      <w:r w:rsidRPr="007F5569">
        <w:t xml:space="preserve">des relations entre présent, passé et </w:t>
      </w:r>
      <w:r w:rsidRPr="00EF3BE2">
        <w:t>futur imprègne</w:t>
      </w:r>
      <w:r>
        <w:t xml:space="preserve"> les processus de décision politique.</w:t>
      </w:r>
    </w:p>
    <w:p w14:paraId="637C9653" w14:textId="0B95E803" w:rsidR="00682346" w:rsidRPr="00004161" w:rsidRDefault="00682346" w:rsidP="00004161">
      <w:pPr>
        <w:pStyle w:val="Corps"/>
      </w:pPr>
      <w:r w:rsidRPr="003217C0">
        <w:t xml:space="preserve">Spécialiste de l’histoire moderne et contemporaine </w:t>
      </w:r>
      <w:r>
        <w:t>de l’Allemagne</w:t>
      </w:r>
      <w:r w:rsidRPr="003217C0">
        <w:t xml:space="preserve"> à l’université de Cambridge, Clark est connu en particulier pour ses ouvrages sur l’histoire politique de la Prusse au </w:t>
      </w:r>
      <w:proofErr w:type="spellStart"/>
      <w:r w:rsidRPr="00A6642D">
        <w:rPr>
          <w:smallCaps/>
        </w:rPr>
        <w:t>xix</w:t>
      </w:r>
      <w:r w:rsidRPr="00A228AF">
        <w:rPr>
          <w:vertAlign w:val="superscript"/>
        </w:rPr>
        <w:t>e</w:t>
      </w:r>
      <w:proofErr w:type="spellEnd"/>
      <w:r>
        <w:t> </w:t>
      </w:r>
      <w:r w:rsidRPr="003217C0">
        <w:t xml:space="preserve">siècle. Avant de percer en 2012 auprès d’un grand public international avec </w:t>
      </w:r>
      <w:r w:rsidRPr="003217C0">
        <w:rPr>
          <w:i/>
          <w:iCs/>
        </w:rPr>
        <w:t>Les Somnambules</w:t>
      </w:r>
      <w:r w:rsidRPr="003217C0">
        <w:t xml:space="preserve">, </w:t>
      </w:r>
      <w:r>
        <w:t>une</w:t>
      </w:r>
      <w:r w:rsidRPr="003217C0">
        <w:t xml:space="preserve"> grande </w:t>
      </w:r>
      <w:r>
        <w:t>fresque</w:t>
      </w:r>
      <w:r w:rsidRPr="003217C0">
        <w:t xml:space="preserve"> </w:t>
      </w:r>
      <w:r>
        <w:t>consacrée au déclenchement</w:t>
      </w:r>
      <w:r w:rsidRPr="003217C0">
        <w:t xml:space="preserve"> de la Première Guerre mondiale, il avait déjà publié en 2006 une histoire de la Prusse</w:t>
      </w:r>
      <w:r>
        <w:t xml:space="preserve"> saluée par la critique</w:t>
      </w:r>
      <w:r w:rsidRPr="003217C0">
        <w:t xml:space="preserve"> et une bio</w:t>
      </w:r>
      <w:r>
        <w:t>graphie de l’empereur Guillaume </w:t>
      </w:r>
      <w:r w:rsidRPr="003217C0">
        <w:t xml:space="preserve">II. </w:t>
      </w:r>
      <w:r>
        <w:t>I</w:t>
      </w:r>
      <w:r w:rsidRPr="003217C0">
        <w:t xml:space="preserve">l travaille </w:t>
      </w:r>
      <w:r>
        <w:t xml:space="preserve">actuellement </w:t>
      </w:r>
      <w:r w:rsidRPr="003217C0">
        <w:t xml:space="preserve">à une synthèse sur </w:t>
      </w:r>
      <w:r>
        <w:t>l</w:t>
      </w:r>
      <w:r w:rsidRPr="003217C0">
        <w:t xml:space="preserve">es changements politiques </w:t>
      </w:r>
      <w:r>
        <w:t xml:space="preserve">intervenus </w:t>
      </w:r>
      <w:r w:rsidRPr="003217C0">
        <w:t xml:space="preserve">à travers l’Europe </w:t>
      </w:r>
      <w:r>
        <w:t>à la suite d</w:t>
      </w:r>
      <w:r w:rsidRPr="003217C0">
        <w:t xml:space="preserve">es révolutions de 1848. </w:t>
      </w:r>
      <w:r w:rsidRPr="003217C0">
        <w:rPr>
          <w:i/>
          <w:iCs/>
        </w:rPr>
        <w:t>Time and Power</w:t>
      </w:r>
      <w:r w:rsidRPr="003217C0">
        <w:t xml:space="preserve"> est, avec ses </w:t>
      </w:r>
      <w:r>
        <w:t>quelque 250 </w:t>
      </w:r>
      <w:r w:rsidRPr="003217C0">
        <w:t xml:space="preserve">pages, un livre moins </w:t>
      </w:r>
      <w:r>
        <w:t xml:space="preserve">imposant, mais </w:t>
      </w:r>
      <w:r w:rsidRPr="003217C0">
        <w:t xml:space="preserve">il représente une étape importante dans les </w:t>
      </w:r>
      <w:proofErr w:type="gramStart"/>
      <w:r w:rsidRPr="003217C0">
        <w:t>recherches</w:t>
      </w:r>
      <w:proofErr w:type="gramEnd"/>
      <w:r w:rsidRPr="003217C0">
        <w:t xml:space="preserve"> sur la temporalité et l’histoire</w:t>
      </w:r>
      <w:r>
        <w:t xml:space="preserve"> des idées politiques</w:t>
      </w:r>
      <w:r w:rsidRPr="003217C0">
        <w:t>.</w:t>
      </w:r>
    </w:p>
    <w:p w14:paraId="380CD2D2" w14:textId="6CDA6706" w:rsidR="00682346" w:rsidRPr="00004161" w:rsidRDefault="00682346" w:rsidP="00004161">
      <w:pPr>
        <w:pStyle w:val="VDIIntertitre"/>
      </w:pPr>
      <w:r>
        <w:lastRenderedPageBreak/>
        <w:t>Conceptions du temps et exercice du pouvoir</w:t>
      </w:r>
    </w:p>
    <w:p w14:paraId="371BDC85" w14:textId="070BDAED" w:rsidR="00682346" w:rsidRPr="00004161" w:rsidRDefault="00682346" w:rsidP="00004161">
      <w:pPr>
        <w:pStyle w:val="Corps"/>
      </w:pPr>
      <w:r>
        <w:t>L</w:t>
      </w:r>
      <w:r w:rsidRPr="003217C0">
        <w:t>e titre de l’ouvrage</w:t>
      </w:r>
      <w:r>
        <w:t xml:space="preserve"> en </w:t>
      </w:r>
      <w:r w:rsidRPr="003217C0">
        <w:t>indique</w:t>
      </w:r>
      <w:r>
        <w:t xml:space="preserve"> d’emblée </w:t>
      </w:r>
      <w:r w:rsidRPr="003217C0">
        <w:t>l’enjeu : comment l’exercice du pouvoir</w:t>
      </w:r>
      <w:r>
        <w:t>, dans un régime politique et à un moment historique donnés, se trouve modelé par les conceptions de la temporalité et de l’historicité qui sont celles des autorités politiques</w:t>
      </w:r>
      <w:r w:rsidRPr="003217C0">
        <w:t xml:space="preserve">. Clark </w:t>
      </w:r>
      <w:r>
        <w:t xml:space="preserve">pose pour hypothèse </w:t>
      </w:r>
      <w:r w:rsidRPr="003217C0">
        <w:t xml:space="preserve">que </w:t>
      </w:r>
      <w:r>
        <w:t>la manière</w:t>
      </w:r>
      <w:r w:rsidRPr="003217C0">
        <w:t xml:space="preserve"> dont </w:t>
      </w:r>
      <w:r>
        <w:t>l</w:t>
      </w:r>
      <w:r w:rsidRPr="003217C0">
        <w:t xml:space="preserve">es dirigeants politiques </w:t>
      </w:r>
      <w:r>
        <w:t xml:space="preserve">exercent </w:t>
      </w:r>
      <w:r w:rsidRPr="003217C0">
        <w:t xml:space="preserve">le pouvoir et se légitiment en s’inscrivant dans l’histoire </w:t>
      </w:r>
      <w:r>
        <w:t xml:space="preserve">relève de leur conception </w:t>
      </w:r>
      <w:r w:rsidRPr="003217C0">
        <w:t>du temps</w:t>
      </w:r>
      <w:r>
        <w:t>,</w:t>
      </w:r>
      <w:r w:rsidRPr="003217C0">
        <w:t xml:space="preserve"> </w:t>
      </w:r>
      <w:r>
        <w:t xml:space="preserve">celle-ci changeant selon </w:t>
      </w:r>
      <w:r w:rsidRPr="003217C0">
        <w:t xml:space="preserve">les époques. Il examine cette hypothèse sur le terrain qu’il connaît le mieux : l’histoire prussienne et allemande. </w:t>
      </w:r>
      <w:r>
        <w:t xml:space="preserve">En </w:t>
      </w:r>
      <w:r w:rsidRPr="003217C0">
        <w:t xml:space="preserve">quatre chapitres, il étudie comment </w:t>
      </w:r>
      <w:r>
        <w:t>s’</w:t>
      </w:r>
      <w:r w:rsidRPr="003217C0">
        <w:t>incarn</w:t>
      </w:r>
      <w:r>
        <w:t>ent</w:t>
      </w:r>
      <w:r w:rsidRPr="003217C0">
        <w:t xml:space="preserve"> des conceptions temporelles spécifiques dans les régimes politiques</w:t>
      </w:r>
      <w:r>
        <w:t xml:space="preserve"> successifs de</w:t>
      </w:r>
      <w:r w:rsidRPr="003217C0">
        <w:t xml:space="preserve"> Frédéric-Guillaume de Brandebourg («</w:t>
      </w:r>
      <w:r>
        <w:t> le Grand Électeur »), Frédéric </w:t>
      </w:r>
      <w:r w:rsidRPr="003217C0">
        <w:t>II de Prusse (« Frédéric le Grand »), l’architecte et premier chancelier de l’Empire allemand</w:t>
      </w:r>
      <w:r>
        <w:t>,</w:t>
      </w:r>
      <w:r w:rsidRPr="003217C0">
        <w:t xml:space="preserve"> Otto </w:t>
      </w:r>
      <w:proofErr w:type="spellStart"/>
      <w:r w:rsidRPr="003217C0">
        <w:t>von</w:t>
      </w:r>
      <w:proofErr w:type="spellEnd"/>
      <w:r w:rsidRPr="003217C0">
        <w:t xml:space="preserve"> Bismarck</w:t>
      </w:r>
      <w:r>
        <w:t>,</w:t>
      </w:r>
      <w:r w:rsidRPr="003217C0">
        <w:t xml:space="preserve"> et </w:t>
      </w:r>
      <w:r>
        <w:t xml:space="preserve">enfin </w:t>
      </w:r>
      <w:r w:rsidRPr="003217C0">
        <w:t>le régime nazi.</w:t>
      </w:r>
    </w:p>
    <w:p w14:paraId="70418F3F" w14:textId="006CC348" w:rsidR="00682346" w:rsidRPr="00004161" w:rsidRDefault="00682346" w:rsidP="00004161">
      <w:pPr>
        <w:pStyle w:val="Corps"/>
      </w:pPr>
      <w:r w:rsidRPr="003217C0">
        <w:t>Cette approche</w:t>
      </w:r>
      <w:r>
        <w:t>, consistant à analyser</w:t>
      </w:r>
      <w:r w:rsidRPr="003217C0">
        <w:t xml:space="preserve"> une succession de régimes politiques sur le même terrain géographique</w:t>
      </w:r>
      <w:r>
        <w:t>,</w:t>
      </w:r>
      <w:r w:rsidRPr="003217C0">
        <w:t xml:space="preserve"> permettrait, selon Clark, de dégager des développements diachroniques, </w:t>
      </w:r>
      <w:proofErr w:type="gramStart"/>
      <w:r w:rsidRPr="003217C0">
        <w:t>ainsi</w:t>
      </w:r>
      <w:proofErr w:type="gramEnd"/>
      <w:r w:rsidRPr="003217C0">
        <w:t xml:space="preserve"> que la logique cumulative et les dimensions réflexives et auto-historicisantes qu</w:t>
      </w:r>
      <w:r>
        <w:t xml:space="preserve">i sont à l’œuvre </w:t>
      </w:r>
      <w:r w:rsidRPr="003217C0">
        <w:t xml:space="preserve">dans la </w:t>
      </w:r>
      <w:r>
        <w:t xml:space="preserve">représentation du temps historique que se font </w:t>
      </w:r>
      <w:r w:rsidRPr="003217C0">
        <w:t xml:space="preserve">des régimes successifs. Ainsi, le livre </w:t>
      </w:r>
      <w:r>
        <w:t xml:space="preserve">relie </w:t>
      </w:r>
      <w:r w:rsidRPr="003217C0">
        <w:t xml:space="preserve">de façon tout à fait fascinante l’histoire des idées et des cultures politiques – qui </w:t>
      </w:r>
      <w:r>
        <w:t xml:space="preserve">interroge notamment la manière dont </w:t>
      </w:r>
      <w:r w:rsidRPr="003217C0">
        <w:t>le pouvoir est exercé et légitimé</w:t>
      </w:r>
      <w:r>
        <w:t xml:space="preserve"> dans une société historique donnée</w:t>
      </w:r>
      <w:r w:rsidRPr="003217C0">
        <w:t xml:space="preserve"> – avec la théorie de l’histoire – dont une des questions centrales </w:t>
      </w:r>
      <w:r>
        <w:t xml:space="preserve">réside dans la perception humaine du </w:t>
      </w:r>
      <w:r w:rsidRPr="003217C0">
        <w:t>temps et</w:t>
      </w:r>
      <w:r w:rsidRPr="009811C3">
        <w:t xml:space="preserve"> </w:t>
      </w:r>
      <w:r>
        <w:t>la relation que les individus établissent entre leur présent</w:t>
      </w:r>
      <w:r w:rsidRPr="003217C0">
        <w:t xml:space="preserve">, </w:t>
      </w:r>
      <w:r>
        <w:t xml:space="preserve">leur </w:t>
      </w:r>
      <w:r w:rsidRPr="003217C0">
        <w:t xml:space="preserve">passé et </w:t>
      </w:r>
      <w:r>
        <w:t xml:space="preserve">leur </w:t>
      </w:r>
      <w:r w:rsidRPr="003217C0">
        <w:t>futur.</w:t>
      </w:r>
    </w:p>
    <w:p w14:paraId="02E12E7B" w14:textId="075CD08F" w:rsidR="00682346" w:rsidRPr="00004161" w:rsidRDefault="00682346" w:rsidP="00004161">
      <w:pPr>
        <w:pStyle w:val="VDIIntertitre"/>
      </w:pPr>
      <w:r>
        <w:t>Nuancer la thèse de la naissance du régime d’historicité moderne</w:t>
      </w:r>
    </w:p>
    <w:p w14:paraId="69E37B0A" w14:textId="415224DC" w:rsidR="00682346" w:rsidRPr="00004161" w:rsidRDefault="00682346" w:rsidP="00004161">
      <w:pPr>
        <w:pStyle w:val="Corps"/>
      </w:pPr>
      <w:r w:rsidRPr="003217C0">
        <w:t xml:space="preserve">S’appuyant sur les travaux entrepris </w:t>
      </w:r>
      <w:r>
        <w:t xml:space="preserve">par </w:t>
      </w:r>
      <w:proofErr w:type="spellStart"/>
      <w:r>
        <w:t>Koselleck</w:t>
      </w:r>
      <w:proofErr w:type="spellEnd"/>
      <w:r w:rsidRPr="003217C0">
        <w:t xml:space="preserve"> </w:t>
      </w:r>
      <w:r>
        <w:t xml:space="preserve">et </w:t>
      </w:r>
      <w:proofErr w:type="spellStart"/>
      <w:r>
        <w:t>Hartog</w:t>
      </w:r>
      <w:proofErr w:type="spellEnd"/>
      <w:r>
        <w:t xml:space="preserve"> </w:t>
      </w:r>
      <w:r w:rsidRPr="003217C0">
        <w:t>sur la temporalité et l’historicité</w:t>
      </w:r>
      <w:r>
        <w:t>,</w:t>
      </w:r>
      <w:r w:rsidRPr="003217C0">
        <w:t xml:space="preserve"> Clark </w:t>
      </w:r>
      <w:r>
        <w:t xml:space="preserve">complète leur approche d’une nouvelle </w:t>
      </w:r>
      <w:r w:rsidRPr="003217C0">
        <w:t>dimension</w:t>
      </w:r>
      <w:r>
        <w:t>, celle</w:t>
      </w:r>
      <w:r w:rsidRPr="003217C0">
        <w:t xml:space="preserve"> d</w:t>
      </w:r>
      <w:r>
        <w:t>u</w:t>
      </w:r>
      <w:r w:rsidRPr="003217C0">
        <w:t xml:space="preserve"> pouvoir politique. </w:t>
      </w:r>
      <w:r>
        <w:t>C</w:t>
      </w:r>
      <w:r w:rsidRPr="003217C0">
        <w:t xml:space="preserve">ontrairement à eux et à plusieurs chercheurs dans leur sillage, il ne s’agit pas pour lui </w:t>
      </w:r>
      <w:r>
        <w:t>d’établir un rapport entre les changements du régime d’historicité et l’avènement de la modernité.</w:t>
      </w:r>
      <w:r w:rsidRPr="003217C0">
        <w:t xml:space="preserve"> À </w:t>
      </w:r>
      <w:r>
        <w:t xml:space="preserve">la différence </w:t>
      </w:r>
      <w:r w:rsidRPr="003217C0">
        <w:t xml:space="preserve">de </w:t>
      </w:r>
      <w:proofErr w:type="spellStart"/>
      <w:r w:rsidRPr="003217C0">
        <w:t>Koselleck</w:t>
      </w:r>
      <w:proofErr w:type="spellEnd"/>
      <w:r w:rsidRPr="003217C0">
        <w:t xml:space="preserve"> et de </w:t>
      </w:r>
      <w:proofErr w:type="spellStart"/>
      <w:r w:rsidRPr="003217C0">
        <w:t>Hartog</w:t>
      </w:r>
      <w:proofErr w:type="spellEnd"/>
      <w:r w:rsidRPr="003217C0">
        <w:t xml:space="preserve">, mais aussi de Peter </w:t>
      </w:r>
      <w:proofErr w:type="spellStart"/>
      <w:r w:rsidRPr="003217C0">
        <w:t>Fritzsche</w:t>
      </w:r>
      <w:proofErr w:type="spellEnd"/>
      <w:r w:rsidRPr="003217C0">
        <w:t xml:space="preserve"> qui recherchait la « mélancolie » de l’homme moderne se sentant coupé d’un passé devenu étranger et lointain, </w:t>
      </w:r>
      <w:r>
        <w:t xml:space="preserve">Clark ne fait pas de </w:t>
      </w:r>
      <w:r w:rsidRPr="003217C0">
        <w:t xml:space="preserve">la Révolution française le grand moment de rupture traumatique et l’acte fondateur </w:t>
      </w:r>
      <w:r>
        <w:t>de la temporalité moderne</w:t>
      </w:r>
      <w:r w:rsidRPr="003217C0">
        <w:t>.</w:t>
      </w:r>
    </w:p>
    <w:p w14:paraId="6D124350" w14:textId="19F75A5B" w:rsidR="00682346" w:rsidRPr="00004161" w:rsidRDefault="00682346" w:rsidP="00004161">
      <w:pPr>
        <w:pStyle w:val="Corps"/>
      </w:pPr>
      <w:r w:rsidRPr="003217C0">
        <w:t xml:space="preserve">Cette conclusion </w:t>
      </w:r>
      <w:r>
        <w:t xml:space="preserve">résulte </w:t>
      </w:r>
      <w:r w:rsidRPr="003217C0">
        <w:t>en partie</w:t>
      </w:r>
      <w:r>
        <w:t>, bien sûr,</w:t>
      </w:r>
      <w:r w:rsidRPr="003217C0">
        <w:t xml:space="preserve"> de sa délimitation géographique et sa sélection de cas d’étude individuels, mais elle</w:t>
      </w:r>
      <w:r w:rsidRPr="009811C3">
        <w:t xml:space="preserve"> </w:t>
      </w:r>
      <w:r>
        <w:t>présente le mérite de souligner tout l’intérêt qu’il y a à reconsidérer cette thèse, désormais largement répandue</w:t>
      </w:r>
      <w:r w:rsidRPr="003217C0">
        <w:t xml:space="preserve">. Soumise à l’enquête empirique, la transition supposée vers un régime d’historicité qu’on pourrait qualifier de « moderne » se </w:t>
      </w:r>
      <w:r w:rsidRPr="003217C0">
        <w:lastRenderedPageBreak/>
        <w:t>décompose en un enchaînement d’adaptations partielles à des situations nouvelles, d</w:t>
      </w:r>
      <w:r>
        <w:t>’</w:t>
      </w:r>
      <w:r w:rsidRPr="003217C0">
        <w:t xml:space="preserve">allers-retours inspirés par les personnalités des acteurs politiques et </w:t>
      </w:r>
      <w:r>
        <w:t xml:space="preserve">les </w:t>
      </w:r>
      <w:r w:rsidRPr="003217C0">
        <w:t>réactions plus ou moins conscientes aux contextes spécifiques.</w:t>
      </w:r>
    </w:p>
    <w:p w14:paraId="4355D429" w14:textId="6DE58A4B" w:rsidR="00682346" w:rsidRPr="00004161" w:rsidRDefault="00682346" w:rsidP="00004161">
      <w:pPr>
        <w:pStyle w:val="Corps"/>
      </w:pPr>
      <w:r w:rsidRPr="003217C0">
        <w:t xml:space="preserve">Les conflits de Frédéric-Guillaume de Brandebourg avec les États-Généraux de ses divers territoires durant la </w:t>
      </w:r>
      <w:r>
        <w:t>g</w:t>
      </w:r>
      <w:r w:rsidRPr="003217C0">
        <w:t>uerre de Trente Ans</w:t>
      </w:r>
      <w:r>
        <w:t xml:space="preserve"> constituent l’enjeu central du premier chapitre</w:t>
      </w:r>
      <w:r w:rsidRPr="003217C0">
        <w:t xml:space="preserve">. </w:t>
      </w:r>
      <w:r>
        <w:t xml:space="preserve">Face aux </w:t>
      </w:r>
      <w:r w:rsidRPr="003217C0">
        <w:t>États-Généraux qui défen</w:t>
      </w:r>
      <w:r>
        <w:t>dent</w:t>
      </w:r>
      <w:r w:rsidRPr="003217C0">
        <w:t xml:space="preserve"> leurs privilèges ancestraux</w:t>
      </w:r>
      <w:r>
        <w:t>,</w:t>
      </w:r>
      <w:r w:rsidRPr="003217C0">
        <w:t xml:space="preserve"> </w:t>
      </w:r>
      <w:r>
        <w:t>révélant par là</w:t>
      </w:r>
      <w:r w:rsidRPr="003217C0">
        <w:t xml:space="preserve"> </w:t>
      </w:r>
      <w:r>
        <w:t>leur perception d’une</w:t>
      </w:r>
      <w:r w:rsidRPr="003217C0">
        <w:t xml:space="preserve"> continuité entre passé, présent et futur, le Grand Électeur invoque la nécessité d’anticiper le futur et de laisser au souverain le pouvoir de prendre librement des décisions dans des temps de grands changements. Si pour Frédéric-Guillaume de Brandebourg, l’État se form</w:t>
      </w:r>
      <w:r>
        <w:t>e</w:t>
      </w:r>
      <w:r w:rsidRPr="003217C0">
        <w:t xml:space="preserve"> au milieu des inconstances du temps, Frédéric le Grand voit </w:t>
      </w:r>
      <w:r>
        <w:t>celui-ci</w:t>
      </w:r>
      <w:r w:rsidRPr="003217C0">
        <w:t xml:space="preserve"> comme une réalité stable qui transcende les changements historiques. C’est à partir de cette position élevée que le chef d’État prend, ensuite, des décisions politiques suivant sa volonté souveraine. L’attention </w:t>
      </w:r>
      <w:r>
        <w:t xml:space="preserve">au </w:t>
      </w:r>
      <w:r w:rsidRPr="003217C0">
        <w:t>flux temporel</w:t>
      </w:r>
      <w:r>
        <w:t xml:space="preserve"> réapparaît</w:t>
      </w:r>
      <w:r w:rsidRPr="003217C0">
        <w:t xml:space="preserve"> chez Bismarck, qui se considère à la fois comme un grand joueur d’échecs et un navigateur sur un fleuve temporel dont le courant</w:t>
      </w:r>
      <w:r>
        <w:t>, s’il</w:t>
      </w:r>
      <w:r w:rsidRPr="003217C0">
        <w:t xml:space="preserve"> est impossible </w:t>
      </w:r>
      <w:r>
        <w:t>à</w:t>
      </w:r>
      <w:r w:rsidRPr="003217C0">
        <w:t xml:space="preserve"> changer, </w:t>
      </w:r>
      <w:r>
        <w:t>est</w:t>
      </w:r>
      <w:r w:rsidRPr="003217C0">
        <w:t xml:space="preserve"> </w:t>
      </w:r>
      <w:r>
        <w:t>susceptible d’</w:t>
      </w:r>
      <w:r w:rsidRPr="003217C0">
        <w:t>être mis à profit par l’homme d’État</w:t>
      </w:r>
      <w:r>
        <w:t xml:space="preserve"> qui sait le discerner dans la poursuite de ses objectifs politiques.</w:t>
      </w:r>
    </w:p>
    <w:p w14:paraId="28211533" w14:textId="01427740" w:rsidR="00682346" w:rsidRPr="00004161" w:rsidRDefault="00682346" w:rsidP="00004161">
      <w:pPr>
        <w:pStyle w:val="VDIIntertitre"/>
      </w:pPr>
      <w:r>
        <w:t>La spécificité du régime nazi comparé aux autres totalitarismes</w:t>
      </w:r>
    </w:p>
    <w:p w14:paraId="11825B73" w14:textId="04746B3B" w:rsidR="00682346" w:rsidRPr="00004161" w:rsidRDefault="00682346" w:rsidP="00004161">
      <w:pPr>
        <w:pStyle w:val="Corps"/>
      </w:pPr>
      <w:r w:rsidRPr="003217C0">
        <w:t xml:space="preserve">Dans le quatrième chapitre, </w:t>
      </w:r>
      <w:r>
        <w:t xml:space="preserve">consacré au </w:t>
      </w:r>
      <w:r w:rsidRPr="003217C0">
        <w:t xml:space="preserve">régime nazi, Clark </w:t>
      </w:r>
      <w:r>
        <w:t xml:space="preserve">est moins convaincant dans sa démonstration du </w:t>
      </w:r>
      <w:r w:rsidRPr="003217C0">
        <w:t>rattache</w:t>
      </w:r>
      <w:r>
        <w:t>ment</w:t>
      </w:r>
      <w:r w:rsidRPr="003217C0">
        <w:t xml:space="preserve"> </w:t>
      </w:r>
      <w:r>
        <w:t xml:space="preserve">des processus décisionnels politiques aux </w:t>
      </w:r>
      <w:r w:rsidRPr="003217C0">
        <w:t xml:space="preserve">conceptions de </w:t>
      </w:r>
      <w:r>
        <w:t xml:space="preserve">la </w:t>
      </w:r>
      <w:proofErr w:type="gramStart"/>
      <w:r w:rsidRPr="003217C0">
        <w:t>temporalité</w:t>
      </w:r>
      <w:proofErr w:type="gramEnd"/>
      <w:r w:rsidRPr="003217C0">
        <w:t xml:space="preserve">. </w:t>
      </w:r>
      <w:r>
        <w:t xml:space="preserve">Cela tient </w:t>
      </w:r>
      <w:r w:rsidRPr="003217C0">
        <w:t>sans doute</w:t>
      </w:r>
      <w:r>
        <w:t xml:space="preserve"> en partie</w:t>
      </w:r>
      <w:r w:rsidRPr="003217C0">
        <w:t xml:space="preserve"> </w:t>
      </w:r>
      <w:r>
        <w:t xml:space="preserve">à </w:t>
      </w:r>
      <w:r w:rsidRPr="003217C0">
        <w:t xml:space="preserve">son choix d’approcher cette fois la temporalité </w:t>
      </w:r>
      <w:r>
        <w:t xml:space="preserve">par l’étude </w:t>
      </w:r>
      <w:r w:rsidRPr="003217C0">
        <w:t>d</w:t>
      </w:r>
      <w:r>
        <w:t>’</w:t>
      </w:r>
      <w:r w:rsidRPr="003217C0">
        <w:t xml:space="preserve">expositions et de musées </w:t>
      </w:r>
      <w:r>
        <w:t>destinés à</w:t>
      </w:r>
      <w:r w:rsidRPr="003217C0">
        <w:t xml:space="preserve"> </w:t>
      </w:r>
      <w:r>
        <w:t>transmettre</w:t>
      </w:r>
      <w:r w:rsidRPr="003217C0">
        <w:t xml:space="preserve"> </w:t>
      </w:r>
      <w:r>
        <w:t>au</w:t>
      </w:r>
      <w:r w:rsidRPr="003217C0">
        <w:t xml:space="preserve"> grand public des représentations idéologiques </w:t>
      </w:r>
      <w:r>
        <w:t>relatives au</w:t>
      </w:r>
      <w:r w:rsidRPr="003217C0">
        <w:t xml:space="preserve"> passé du régime et du peuple germanique. Même s’il ne les </w:t>
      </w:r>
      <w:r>
        <w:t>néglige pas totalement</w:t>
      </w:r>
      <w:r w:rsidRPr="003217C0">
        <w:t xml:space="preserve">, les écrits historiques ou programmatiques des protagonistes du régime </w:t>
      </w:r>
      <w:r>
        <w:t>ne jouent</w:t>
      </w:r>
      <w:r w:rsidRPr="003217C0">
        <w:t xml:space="preserve"> </w:t>
      </w:r>
      <w:r>
        <w:t>qu’</w:t>
      </w:r>
      <w:r w:rsidRPr="003217C0">
        <w:t xml:space="preserve">un rôle mineur dans </w:t>
      </w:r>
      <w:r>
        <w:t xml:space="preserve">son </w:t>
      </w:r>
      <w:r w:rsidRPr="003217C0">
        <w:t>argumentation, tandis qu’ils formaient l’essentiel des sources dans les autres chapitres où ils permettaient de relier leurs conceptions du temps à leurs actions politiques.</w:t>
      </w:r>
    </w:p>
    <w:p w14:paraId="4A267C32" w14:textId="727EC5BA" w:rsidR="00682346" w:rsidRPr="00004161" w:rsidRDefault="00682346" w:rsidP="00004161">
      <w:pPr>
        <w:pStyle w:val="Corps"/>
      </w:pPr>
      <w:r>
        <w:t>À l’évidence</w:t>
      </w:r>
      <w:r w:rsidRPr="003217C0">
        <w:t xml:space="preserve">, une certaine variabilité d’usage de sources – et le déséquilibre qui </w:t>
      </w:r>
      <w:r>
        <w:t>s’</w:t>
      </w:r>
      <w:r w:rsidRPr="003217C0">
        <w:t>ensuit– est inévitable dans une étude d’une telle envergure chronologique, le même type de sources n’</w:t>
      </w:r>
      <w:r>
        <w:t>étant</w:t>
      </w:r>
      <w:r w:rsidRPr="003217C0">
        <w:t xml:space="preserve"> pas disponible pour tou</w:t>
      </w:r>
      <w:r>
        <w:t>tes</w:t>
      </w:r>
      <w:r w:rsidRPr="003217C0">
        <w:t xml:space="preserve"> les époques</w:t>
      </w:r>
      <w:r>
        <w:t>. Au gré d</w:t>
      </w:r>
      <w:r w:rsidRPr="003217C0">
        <w:t xml:space="preserve">es changements de régime, </w:t>
      </w:r>
      <w:r>
        <w:t>l</w:t>
      </w:r>
      <w:r w:rsidRPr="003217C0">
        <w:t>es conceptions de l’État et de ce qu</w:t>
      </w:r>
      <w:r>
        <w:t>’</w:t>
      </w:r>
      <w:r w:rsidRPr="003217C0">
        <w:t>est la politique</w:t>
      </w:r>
      <w:r w:rsidRPr="00421D7C">
        <w:t xml:space="preserve"> </w:t>
      </w:r>
      <w:r>
        <w:t>changent aussi</w:t>
      </w:r>
      <w:r w:rsidRPr="003217C0">
        <w:t xml:space="preserve"> </w:t>
      </w:r>
      <w:r>
        <w:t xml:space="preserve">et, en conséquence, </w:t>
      </w:r>
      <w:r w:rsidRPr="003217C0">
        <w:t xml:space="preserve">les </w:t>
      </w:r>
      <w:r>
        <w:t xml:space="preserve">modes d’expression écrite des </w:t>
      </w:r>
      <w:r w:rsidRPr="003217C0">
        <w:t xml:space="preserve">dirigeants politiques. </w:t>
      </w:r>
      <w:r>
        <w:t>Mais</w:t>
      </w:r>
      <w:r w:rsidRPr="003217C0">
        <w:t xml:space="preserve"> Clark n’explique pas suffisamment pourquoi des expositions et des musées </w:t>
      </w:r>
      <w:r>
        <w:t>constitueraient</w:t>
      </w:r>
      <w:r w:rsidRPr="003217C0">
        <w:t xml:space="preserve"> les sources les plus adéquates pour comprendre l’exercice du pouvoir</w:t>
      </w:r>
      <w:r>
        <w:t xml:space="preserve"> dans le cas du régime nazi.</w:t>
      </w:r>
    </w:p>
    <w:p w14:paraId="1D1EC235" w14:textId="16CA85E1" w:rsidR="00682346" w:rsidRPr="00004161" w:rsidRDefault="00682346" w:rsidP="00004161">
      <w:pPr>
        <w:pStyle w:val="Corps"/>
      </w:pPr>
      <w:r w:rsidRPr="003217C0">
        <w:t xml:space="preserve">L’entre-deux-guerres et la </w:t>
      </w:r>
      <w:r>
        <w:t xml:space="preserve">montée du nazisme </w:t>
      </w:r>
      <w:r w:rsidRPr="003217C0">
        <w:t xml:space="preserve">ont été des années de débats intenses sur </w:t>
      </w:r>
      <w:proofErr w:type="gramStart"/>
      <w:r w:rsidRPr="003217C0">
        <w:t>la</w:t>
      </w:r>
      <w:proofErr w:type="gramEnd"/>
      <w:r w:rsidRPr="003217C0">
        <w:t xml:space="preserve"> conception du temps en Allemagne</w:t>
      </w:r>
      <w:r>
        <w:t xml:space="preserve">, corollaires du climat politique </w:t>
      </w:r>
      <w:proofErr w:type="spellStart"/>
      <w:r>
        <w:t>profondement</w:t>
      </w:r>
      <w:proofErr w:type="spellEnd"/>
      <w:r>
        <w:t xml:space="preserve"> instable</w:t>
      </w:r>
      <w:r w:rsidRPr="003217C0">
        <w:t xml:space="preserve">. </w:t>
      </w:r>
      <w:r w:rsidRPr="003217C0">
        <w:lastRenderedPageBreak/>
        <w:t xml:space="preserve">Ce n’est pas un hasard </w:t>
      </w:r>
      <w:r>
        <w:t>si</w:t>
      </w:r>
      <w:r w:rsidRPr="003217C0">
        <w:t xml:space="preserve"> le livre </w:t>
      </w:r>
      <w:r>
        <w:t>dans lequel</w:t>
      </w:r>
      <w:r w:rsidRPr="003217C0">
        <w:t xml:space="preserve"> Martin Heidegger </w:t>
      </w:r>
      <w:r>
        <w:t>place le</w:t>
      </w:r>
      <w:r w:rsidRPr="003217C0">
        <w:t xml:space="preserve"> temps</w:t>
      </w:r>
      <w:r>
        <w:t xml:space="preserve"> au centre</w:t>
      </w:r>
      <w:r w:rsidRPr="003217C0">
        <w:t xml:space="preserve"> de la réflexion ontologique, </w:t>
      </w:r>
      <w:r w:rsidRPr="003217C0">
        <w:rPr>
          <w:i/>
          <w:iCs/>
        </w:rPr>
        <w:t>Être et Temps</w:t>
      </w:r>
      <w:r w:rsidRPr="003217C0">
        <w:t xml:space="preserve">, date précisément de ces années (1927). D’ailleurs, les idées de Heidegger sur la temporalité comme horizon de toute compréhension de l’être ont été formatrices pour </w:t>
      </w:r>
      <w:proofErr w:type="spellStart"/>
      <w:r w:rsidRPr="003217C0">
        <w:t>Koselleck</w:t>
      </w:r>
      <w:proofErr w:type="spellEnd"/>
      <w:r w:rsidRPr="003217C0">
        <w:t xml:space="preserve"> dans sa pensée de l’historicité. </w:t>
      </w:r>
      <w:r>
        <w:t>S’agissant</w:t>
      </w:r>
      <w:r w:rsidRPr="003217C0">
        <w:t xml:space="preserve"> des pratiques culturelles, </w:t>
      </w:r>
      <w:r>
        <w:t>l</w:t>
      </w:r>
      <w:r w:rsidRPr="003217C0">
        <w:t xml:space="preserve">es recherches de </w:t>
      </w:r>
      <w:proofErr w:type="spellStart"/>
      <w:r w:rsidRPr="003217C0">
        <w:t>Robbert</w:t>
      </w:r>
      <w:proofErr w:type="spellEnd"/>
      <w:r w:rsidRPr="003217C0">
        <w:t xml:space="preserve">-Jan </w:t>
      </w:r>
      <w:proofErr w:type="spellStart"/>
      <w:r w:rsidRPr="003217C0">
        <w:t>Adriaansen</w:t>
      </w:r>
      <w:proofErr w:type="spellEnd"/>
      <w:r w:rsidRPr="003217C0">
        <w:t xml:space="preserve"> sur les mouvements allemands de jeunesse dans les années </w:t>
      </w:r>
      <w:r>
        <w:t>qui précèdent</w:t>
      </w:r>
      <w:r w:rsidRPr="003217C0">
        <w:t xml:space="preserve"> la prise d</w:t>
      </w:r>
      <w:r>
        <w:t>u</w:t>
      </w:r>
      <w:r w:rsidRPr="003217C0">
        <w:t xml:space="preserve"> pouvoir </w:t>
      </w:r>
      <w:r>
        <w:t>par Hitler</w:t>
      </w:r>
      <w:r w:rsidRPr="003217C0">
        <w:t xml:space="preserve"> ont démontré leur préoccupation centrale d’échapper au cours linéaire du temps et d’atteindre, par des pratiques comme la danse en ronde et la fête du solstice d’été, une expérience (</w:t>
      </w:r>
      <w:proofErr w:type="spellStart"/>
      <w:r w:rsidRPr="003217C0">
        <w:rPr>
          <w:i/>
          <w:iCs/>
        </w:rPr>
        <w:t>Erlebnis</w:t>
      </w:r>
      <w:proofErr w:type="spellEnd"/>
      <w:r w:rsidRPr="003217C0">
        <w:t>) d’éternité. Plus général</w:t>
      </w:r>
      <w:r>
        <w:t>ement</w:t>
      </w:r>
      <w:r w:rsidRPr="003217C0">
        <w:t>, l’oxymor</w:t>
      </w:r>
      <w:r>
        <w:t>e</w:t>
      </w:r>
      <w:r w:rsidRPr="003217C0">
        <w:t xml:space="preserve"> « révolution conservatrice » forgé </w:t>
      </w:r>
      <w:r>
        <w:t xml:space="preserve">dans les années 1950 </w:t>
      </w:r>
      <w:r w:rsidRPr="003217C0">
        <w:t xml:space="preserve">pour caractériser le débat intellectuel en Allemagne </w:t>
      </w:r>
      <w:r>
        <w:t>durant</w:t>
      </w:r>
      <w:r w:rsidRPr="003217C0">
        <w:t xml:space="preserve"> </w:t>
      </w:r>
      <w:r>
        <w:t xml:space="preserve">la République de Weimar et les premières années du régime nazi </w:t>
      </w:r>
      <w:r w:rsidRPr="003217C0">
        <w:t>signale déjà dans quel</w:t>
      </w:r>
      <w:r>
        <w:t>le</w:t>
      </w:r>
      <w:r w:rsidRPr="003217C0">
        <w:t xml:space="preserve"> mesure l’idée d’un progrès linéaire du temps était cible de critiques </w:t>
      </w:r>
      <w:r>
        <w:t>qui associent</w:t>
      </w:r>
      <w:r w:rsidRPr="003217C0">
        <w:t xml:space="preserve"> visions statiques et cycliques du temps. </w:t>
      </w:r>
      <w:r>
        <w:t>L</w:t>
      </w:r>
      <w:r w:rsidRPr="003217C0">
        <w:t>e choix de Clark de se concentrer sur des musées et des expositions ne permet pas de prendre en compte</w:t>
      </w:r>
      <w:r>
        <w:t xml:space="preserve"> ces aspects</w:t>
      </w:r>
      <w:r w:rsidRPr="003217C0">
        <w:t>.</w:t>
      </w:r>
    </w:p>
    <w:p w14:paraId="2C694A8F" w14:textId="1D78853F" w:rsidR="00682346" w:rsidRPr="00004161" w:rsidRDefault="00682346" w:rsidP="00004161">
      <w:pPr>
        <w:pStyle w:val="Corps"/>
      </w:pPr>
      <w:r>
        <w:t>S</w:t>
      </w:r>
      <w:r w:rsidRPr="003217C0">
        <w:t xml:space="preserve">pécialiste de l’histoire prussienne, Clark est moins familier </w:t>
      </w:r>
      <w:r>
        <w:t>de</w:t>
      </w:r>
      <w:r w:rsidRPr="003217C0">
        <w:t xml:space="preserve"> la période nazie, pour laquelle il est, en outre, confronté </w:t>
      </w:r>
      <w:r>
        <w:t>à</w:t>
      </w:r>
      <w:r w:rsidRPr="003217C0">
        <w:t xml:space="preserve"> une historiographie et une masse de sources </w:t>
      </w:r>
      <w:r>
        <w:t xml:space="preserve">considérable </w:t>
      </w:r>
      <w:r w:rsidRPr="003217C0">
        <w:t xml:space="preserve">dans laquelle il a forcément dû </w:t>
      </w:r>
      <w:r>
        <w:t>opérer</w:t>
      </w:r>
      <w:r w:rsidRPr="003217C0">
        <w:t xml:space="preserve"> une sélection pragmatique. Il motive sa décision par la volonté de </w:t>
      </w:r>
      <w:r>
        <w:t>discuter</w:t>
      </w:r>
      <w:r w:rsidRPr="003217C0">
        <w:t xml:space="preserve"> l’interprétation formulée d’abord par Emilio Gentile</w:t>
      </w:r>
      <w:r>
        <w:t>,</w:t>
      </w:r>
      <w:r w:rsidRPr="003217C0">
        <w:t xml:space="preserve"> et </w:t>
      </w:r>
      <w:r>
        <w:t>reprise par beaucoup de chercheurs après lui,</w:t>
      </w:r>
      <w:r w:rsidRPr="003217C0">
        <w:t xml:space="preserve"> selon laquelle les trois régimes totalitaires des années 1930-1940 – le nazisme, le fascisme italien et le stalinisme – ont en commun le fait d’être des religions politiques. La comparaison d’expositions montées par les trois régimes permet à Clark de différencier les façons dont ils se positionnent vis-à-vis </w:t>
      </w:r>
      <w:r>
        <w:t>de leur</w:t>
      </w:r>
      <w:r w:rsidRPr="003217C0">
        <w:t xml:space="preserve"> passé et se projettent dans l’avenir. Pour lui, l’accentuation des aspects religieux </w:t>
      </w:r>
      <w:r>
        <w:t>partagés par c</w:t>
      </w:r>
      <w:r w:rsidRPr="003217C0">
        <w:t>es régimes totalitaires obscurcit le caractère distinctif de la temporalité nazie – qui consiste</w:t>
      </w:r>
      <w:r>
        <w:t xml:space="preserve"> en </w:t>
      </w:r>
      <w:r w:rsidRPr="003217C0">
        <w:t xml:space="preserve">une volonté d’échapper au temps pour rétablir la </w:t>
      </w:r>
      <w:proofErr w:type="spellStart"/>
      <w:r w:rsidRPr="003217C0">
        <w:rPr>
          <w:i/>
          <w:iCs/>
        </w:rPr>
        <w:t>Volksgemeinschaft</w:t>
      </w:r>
      <w:proofErr w:type="spellEnd"/>
      <w:r>
        <w:t xml:space="preserve"> </w:t>
      </w:r>
      <w:r w:rsidRPr="003217C0">
        <w:t>transhistorique</w:t>
      </w:r>
      <w:r>
        <w:t>, l’idéal d’une communauté populaire unifiée, immuable et sans conflits.</w:t>
      </w:r>
    </w:p>
    <w:p w14:paraId="5C6AA815" w14:textId="339C85EC" w:rsidR="00682346" w:rsidRPr="00004161" w:rsidRDefault="00682346" w:rsidP="00004161">
      <w:pPr>
        <w:pStyle w:val="VDIIntertitre"/>
        <w:rPr>
          <w:i/>
          <w:iCs/>
        </w:rPr>
      </w:pPr>
      <w:r>
        <w:t xml:space="preserve">La question délicate du </w:t>
      </w:r>
      <w:proofErr w:type="spellStart"/>
      <w:r>
        <w:rPr>
          <w:i/>
          <w:iCs/>
        </w:rPr>
        <w:t>Sonderweg</w:t>
      </w:r>
      <w:proofErr w:type="spellEnd"/>
    </w:p>
    <w:p w14:paraId="756EB9AF" w14:textId="233AD217" w:rsidR="00682346" w:rsidRPr="00004161" w:rsidRDefault="00682346" w:rsidP="00004161">
      <w:pPr>
        <w:pStyle w:val="Corps"/>
      </w:pPr>
      <w:r>
        <w:t>La notion</w:t>
      </w:r>
      <w:r w:rsidRPr="003217C0">
        <w:t xml:space="preserve"> </w:t>
      </w:r>
      <w:r>
        <w:t xml:space="preserve">de volonté </w:t>
      </w:r>
      <w:r w:rsidRPr="003217C0">
        <w:t xml:space="preserve">se </w:t>
      </w:r>
      <w:r>
        <w:t>re</w:t>
      </w:r>
      <w:r w:rsidRPr="003217C0">
        <w:t xml:space="preserve">trouve en filigrane dans chacun des quatre chapitres. Elle prend des formes diverses : volonté princière chez Frédéric-Guillaume de Brandebourg et un peu différemment chez Frédéric le Grand ; volonté de puissance chez Bismarck ; </w:t>
      </w:r>
      <w:proofErr w:type="spellStart"/>
      <w:r w:rsidRPr="003217C0">
        <w:rPr>
          <w:i/>
          <w:iCs/>
        </w:rPr>
        <w:t>Volkswille</w:t>
      </w:r>
      <w:proofErr w:type="spellEnd"/>
      <w:r w:rsidRPr="003217C0">
        <w:t xml:space="preserve"> chez les dirigeants nazis. Le concept </w:t>
      </w:r>
      <w:r>
        <w:t xml:space="preserve">de volonté </w:t>
      </w:r>
      <w:r w:rsidRPr="003217C0">
        <w:t xml:space="preserve">apparaît comme la charnière entre ceux de temps, </w:t>
      </w:r>
      <w:r>
        <w:t>d’</w:t>
      </w:r>
      <w:r w:rsidRPr="003217C0">
        <w:t xml:space="preserve">État, </w:t>
      </w:r>
      <w:r>
        <w:t xml:space="preserve">de </w:t>
      </w:r>
      <w:r w:rsidRPr="003217C0">
        <w:t xml:space="preserve">pouvoir et </w:t>
      </w:r>
      <w:r>
        <w:t xml:space="preserve">de </w:t>
      </w:r>
      <w:r w:rsidRPr="003217C0">
        <w:t xml:space="preserve">décision. Clark ne le développe </w:t>
      </w:r>
      <w:r>
        <w:t>pas en profondeur</w:t>
      </w:r>
      <w:r w:rsidRPr="003217C0">
        <w:t xml:space="preserve">, ce qui </w:t>
      </w:r>
      <w:r>
        <w:t>semble</w:t>
      </w:r>
      <w:r w:rsidRPr="003217C0">
        <w:t xml:space="preserve"> lié à son hésitation </w:t>
      </w:r>
      <w:r>
        <w:t xml:space="preserve">à </w:t>
      </w:r>
      <w:r w:rsidRPr="003217C0">
        <w:t xml:space="preserve">faire </w:t>
      </w:r>
      <w:r>
        <w:t>de l’exemple</w:t>
      </w:r>
      <w:r w:rsidRPr="003217C0">
        <w:t xml:space="preserve"> allemand un cas à part. Il </w:t>
      </w:r>
      <w:r>
        <w:t xml:space="preserve">ne </w:t>
      </w:r>
      <w:r w:rsidRPr="003217C0">
        <w:t xml:space="preserve">sait </w:t>
      </w:r>
      <w:r>
        <w:t xml:space="preserve">que </w:t>
      </w:r>
      <w:r w:rsidRPr="003217C0">
        <w:t xml:space="preserve">trop bien qu’en poussant son argumentation dans cette direction, elle aboutirait à la thèse </w:t>
      </w:r>
      <w:r>
        <w:t>très</w:t>
      </w:r>
      <w:r w:rsidRPr="003217C0">
        <w:t xml:space="preserve"> contestée du </w:t>
      </w:r>
      <w:proofErr w:type="spellStart"/>
      <w:r w:rsidRPr="003217C0">
        <w:rPr>
          <w:i/>
          <w:iCs/>
        </w:rPr>
        <w:t>Sonderweg</w:t>
      </w:r>
      <w:proofErr w:type="spellEnd"/>
      <w:r w:rsidRPr="003217C0">
        <w:t xml:space="preserve">, la trajectoire isolée </w:t>
      </w:r>
      <w:r>
        <w:t xml:space="preserve">et particulière de l’Allemagne </w:t>
      </w:r>
      <w:r w:rsidRPr="003217C0">
        <w:rPr>
          <w:iCs/>
        </w:rPr>
        <w:t>vers la modernité qui expliquerait</w:t>
      </w:r>
      <w:r>
        <w:rPr>
          <w:iCs/>
        </w:rPr>
        <w:t>, selon certains historiens,</w:t>
      </w:r>
      <w:r w:rsidRPr="003217C0">
        <w:rPr>
          <w:iCs/>
        </w:rPr>
        <w:t xml:space="preserve"> la catastrophe nazie. </w:t>
      </w:r>
      <w:r w:rsidRPr="003217C0">
        <w:t xml:space="preserve">C’est une interprétation que Clark rejette en </w:t>
      </w:r>
      <w:r>
        <w:t>se livrant à</w:t>
      </w:r>
      <w:r w:rsidRPr="003217C0">
        <w:t xml:space="preserve"> des comparaisons avec d’autres aires géographiques </w:t>
      </w:r>
      <w:r>
        <w:t>lui permettant de</w:t>
      </w:r>
      <w:r w:rsidRPr="003217C0">
        <w:t xml:space="preserve"> relativiser la spécificité de ses cas d’étude.</w:t>
      </w:r>
    </w:p>
    <w:p w14:paraId="455EC5CB" w14:textId="41A20A2A" w:rsidR="00682346" w:rsidRPr="00004161" w:rsidRDefault="00682346" w:rsidP="00004161">
      <w:pPr>
        <w:pStyle w:val="Corps"/>
      </w:pPr>
      <w:r w:rsidRPr="003217C0">
        <w:lastRenderedPageBreak/>
        <w:t xml:space="preserve">Or, son oscillation entre une reconnaissance de cette spécificité qui légitimerait précisément cette sélection de cas et sa tentative de normaliser </w:t>
      </w:r>
      <w:r>
        <w:t>l’</w:t>
      </w:r>
      <w:r w:rsidRPr="003217C0">
        <w:t>histoire allemande nuit à son objectif de montrer les dimensions cumulatives et réflexives de la succession de temporalités. Dans quel</w:t>
      </w:r>
      <w:r>
        <w:t>le</w:t>
      </w:r>
      <w:r w:rsidRPr="003217C0">
        <w:t xml:space="preserve"> mesure Bismarck retravaillait</w:t>
      </w:r>
      <w:r>
        <w:t>-il</w:t>
      </w:r>
      <w:r w:rsidRPr="003217C0">
        <w:t xml:space="preserve"> les conceptions de temporalité des deux souverains qui avaient</w:t>
      </w:r>
      <w:r>
        <w:t xml:space="preserve">, avant lui, </w:t>
      </w:r>
      <w:r w:rsidRPr="003217C0">
        <w:t xml:space="preserve">marqué de façon aussi importante l’histoire prussienne ? La période nazie représente-t-elle une rupture radicale ou </w:t>
      </w:r>
      <w:r>
        <w:t>s’inscrit</w:t>
      </w:r>
      <w:r w:rsidRPr="003217C0">
        <w:t>-elle</w:t>
      </w:r>
      <w:r>
        <w:t>,</w:t>
      </w:r>
      <w:r w:rsidRPr="003217C0">
        <w:t xml:space="preserve"> malgré les différences</w:t>
      </w:r>
      <w:r>
        <w:t>,</w:t>
      </w:r>
      <w:r w:rsidRPr="003217C0">
        <w:t xml:space="preserve"> dans une continuité fondamentale avec l’histoire précédente ? La </w:t>
      </w:r>
      <w:r>
        <w:t>conclusion esquisse des pistes de réponse intéressantes</w:t>
      </w:r>
      <w:r w:rsidRPr="003217C0">
        <w:t xml:space="preserve">, qui auraient mérité </w:t>
      </w:r>
      <w:r>
        <w:t>d’être développées</w:t>
      </w:r>
      <w:r w:rsidRPr="003217C0">
        <w:t xml:space="preserve">. </w:t>
      </w:r>
      <w:r>
        <w:t>Malgré les ambitions inabouties de</w:t>
      </w:r>
      <w:r w:rsidRPr="003217C0">
        <w:t xml:space="preserve"> Clark, </w:t>
      </w:r>
      <w:r w:rsidRPr="003217C0">
        <w:rPr>
          <w:i/>
          <w:iCs/>
        </w:rPr>
        <w:t>Time and Power</w:t>
      </w:r>
      <w:r w:rsidRPr="003217C0">
        <w:t xml:space="preserve"> est une ouverture prometteuse pour des recherches sur les relations entre régimes de pouvoir et d’historicité.</w:t>
      </w:r>
    </w:p>
    <w:p w14:paraId="4D948574" w14:textId="48C9659C" w:rsidR="00682346" w:rsidRPr="0093614C" w:rsidRDefault="00682346" w:rsidP="0093614C">
      <w:pPr>
        <w:pStyle w:val="VDIBibliographietitre"/>
        <w:rPr>
          <w:lang w:val="en-US"/>
        </w:rPr>
      </w:pPr>
      <w:r w:rsidRPr="00FC5754">
        <w:rPr>
          <w:lang w:val="en-US"/>
        </w:rPr>
        <w:t xml:space="preserve">Pour </w:t>
      </w:r>
      <w:proofErr w:type="spellStart"/>
      <w:r w:rsidRPr="00FC5754">
        <w:rPr>
          <w:lang w:val="en-US"/>
        </w:rPr>
        <w:t>aller</w:t>
      </w:r>
      <w:proofErr w:type="spellEnd"/>
      <w:r w:rsidRPr="00FC5754">
        <w:rPr>
          <w:lang w:val="en-US"/>
        </w:rPr>
        <w:t xml:space="preserve"> plus </w:t>
      </w:r>
      <w:proofErr w:type="gramStart"/>
      <w:r w:rsidRPr="00FC5754">
        <w:rPr>
          <w:lang w:val="en-US"/>
        </w:rPr>
        <w:t>loin :</w:t>
      </w:r>
      <w:proofErr w:type="gramEnd"/>
    </w:p>
    <w:p w14:paraId="55D07FB7" w14:textId="77777777" w:rsidR="00682346" w:rsidRPr="00004161" w:rsidRDefault="00682346" w:rsidP="0093614C">
      <w:pPr>
        <w:pStyle w:val="VDIBibliographie"/>
        <w:rPr>
          <w:sz w:val="22"/>
          <w:szCs w:val="22"/>
          <w:lang w:val="en-US"/>
        </w:rPr>
      </w:pPr>
      <w:proofErr w:type="spellStart"/>
      <w:r w:rsidRPr="00004161">
        <w:rPr>
          <w:sz w:val="22"/>
          <w:szCs w:val="22"/>
          <w:lang w:val="en-US"/>
        </w:rPr>
        <w:t>Robbert</w:t>
      </w:r>
      <w:proofErr w:type="spellEnd"/>
      <w:r w:rsidRPr="00004161">
        <w:rPr>
          <w:sz w:val="22"/>
          <w:szCs w:val="22"/>
          <w:lang w:val="en-US"/>
        </w:rPr>
        <w:t xml:space="preserve">-Jan </w:t>
      </w:r>
      <w:proofErr w:type="spellStart"/>
      <w:r w:rsidRPr="00004161">
        <w:rPr>
          <w:sz w:val="22"/>
          <w:szCs w:val="22"/>
          <w:lang w:val="en-US"/>
        </w:rPr>
        <w:t>Adriaansen</w:t>
      </w:r>
      <w:proofErr w:type="spellEnd"/>
      <w:r w:rsidRPr="00004161">
        <w:rPr>
          <w:sz w:val="22"/>
          <w:szCs w:val="22"/>
          <w:lang w:val="en-US"/>
        </w:rPr>
        <w:t xml:space="preserve">, </w:t>
      </w:r>
      <w:r w:rsidRPr="00004161">
        <w:rPr>
          <w:i/>
          <w:iCs/>
          <w:sz w:val="22"/>
          <w:szCs w:val="22"/>
          <w:lang w:val="en-US"/>
        </w:rPr>
        <w:t>The Rhythm of Eternity. The German Youth Movement and the Experience of the Past, 1900-1933</w:t>
      </w:r>
      <w:r w:rsidRPr="00004161">
        <w:rPr>
          <w:sz w:val="22"/>
          <w:szCs w:val="22"/>
          <w:lang w:val="en-US"/>
        </w:rPr>
        <w:t xml:space="preserve">, New-York, </w:t>
      </w:r>
      <w:proofErr w:type="spellStart"/>
      <w:r w:rsidRPr="00004161">
        <w:rPr>
          <w:sz w:val="22"/>
          <w:szCs w:val="22"/>
          <w:lang w:val="en-US"/>
        </w:rPr>
        <w:t>Berghahn</w:t>
      </w:r>
      <w:proofErr w:type="spellEnd"/>
      <w:r w:rsidRPr="00004161">
        <w:rPr>
          <w:sz w:val="22"/>
          <w:szCs w:val="22"/>
          <w:lang w:val="en-US"/>
        </w:rPr>
        <w:t>, 2015.</w:t>
      </w:r>
    </w:p>
    <w:p w14:paraId="3AC081BF" w14:textId="11FABA28" w:rsidR="00682346" w:rsidRPr="00004161" w:rsidRDefault="00682346" w:rsidP="0093614C">
      <w:pPr>
        <w:pStyle w:val="VDIBibliographie"/>
        <w:rPr>
          <w:sz w:val="22"/>
          <w:szCs w:val="22"/>
          <w:lang w:val="en-US"/>
        </w:rPr>
      </w:pPr>
      <w:r w:rsidRPr="00004161">
        <w:rPr>
          <w:sz w:val="22"/>
          <w:szCs w:val="22"/>
          <w:lang w:val="en-US"/>
        </w:rPr>
        <w:t xml:space="preserve">Christopher Clark, Iron Kingdom. </w:t>
      </w:r>
      <w:r w:rsidRPr="00004161">
        <w:rPr>
          <w:i/>
          <w:iCs/>
          <w:sz w:val="22"/>
          <w:szCs w:val="22"/>
          <w:lang w:val="en-US"/>
        </w:rPr>
        <w:t>The Rise and Downfall of Prussia</w:t>
      </w:r>
      <w:r w:rsidRPr="00004161">
        <w:rPr>
          <w:sz w:val="22"/>
          <w:szCs w:val="22"/>
          <w:lang w:val="en-US"/>
        </w:rPr>
        <w:t xml:space="preserve">, 1600–1947, </w:t>
      </w:r>
      <w:proofErr w:type="spellStart"/>
      <w:r w:rsidRPr="00004161">
        <w:rPr>
          <w:sz w:val="22"/>
          <w:szCs w:val="22"/>
          <w:lang w:val="en-US"/>
        </w:rPr>
        <w:t>Londres</w:t>
      </w:r>
      <w:proofErr w:type="spellEnd"/>
      <w:r w:rsidRPr="00004161">
        <w:rPr>
          <w:sz w:val="22"/>
          <w:szCs w:val="22"/>
          <w:lang w:val="en-US"/>
        </w:rPr>
        <w:t xml:space="preserve">, Penguin, 2006, </w:t>
      </w:r>
      <w:r w:rsidR="0093614C" w:rsidRPr="00004161">
        <w:rPr>
          <w:sz w:val="22"/>
          <w:szCs w:val="22"/>
          <w:lang w:val="en-US"/>
        </w:rPr>
        <w:t xml:space="preserve">trad. par Éric </w:t>
      </w:r>
      <w:proofErr w:type="spellStart"/>
      <w:r w:rsidR="0093614C" w:rsidRPr="00004161">
        <w:rPr>
          <w:sz w:val="22"/>
          <w:szCs w:val="22"/>
          <w:lang w:val="en-US"/>
        </w:rPr>
        <w:t>Chédaille</w:t>
      </w:r>
      <w:proofErr w:type="spellEnd"/>
      <w:r w:rsidR="0093614C" w:rsidRPr="00004161">
        <w:rPr>
          <w:sz w:val="22"/>
          <w:szCs w:val="22"/>
          <w:lang w:val="en-US"/>
        </w:rPr>
        <w:t xml:space="preserve">, Patrick </w:t>
      </w:r>
      <w:proofErr w:type="spellStart"/>
      <w:r w:rsidR="0093614C" w:rsidRPr="00004161">
        <w:rPr>
          <w:sz w:val="22"/>
          <w:szCs w:val="22"/>
          <w:lang w:val="en-US"/>
        </w:rPr>
        <w:t>Hersant</w:t>
      </w:r>
      <w:proofErr w:type="spellEnd"/>
      <w:r w:rsidR="0093614C" w:rsidRPr="00004161">
        <w:rPr>
          <w:sz w:val="22"/>
          <w:szCs w:val="22"/>
          <w:lang w:val="en-US"/>
        </w:rPr>
        <w:t xml:space="preserve"> et Sylvie Kleiman-</w:t>
      </w:r>
      <w:proofErr w:type="gramStart"/>
      <w:r w:rsidR="0093614C" w:rsidRPr="00004161">
        <w:rPr>
          <w:sz w:val="22"/>
          <w:szCs w:val="22"/>
          <w:lang w:val="en-US"/>
        </w:rPr>
        <w:t>Lafon :</w:t>
      </w:r>
      <w:proofErr w:type="gramEnd"/>
      <w:r w:rsidR="0093614C" w:rsidRPr="00004161">
        <w:rPr>
          <w:sz w:val="22"/>
          <w:szCs w:val="22"/>
          <w:lang w:val="en-US"/>
        </w:rPr>
        <w:t xml:space="preserve"> </w:t>
      </w:r>
      <w:proofErr w:type="spellStart"/>
      <w:r w:rsidRPr="00004161">
        <w:rPr>
          <w:i/>
          <w:iCs/>
          <w:sz w:val="22"/>
          <w:szCs w:val="22"/>
          <w:lang w:val="en-US"/>
        </w:rPr>
        <w:t>Histoire</w:t>
      </w:r>
      <w:proofErr w:type="spellEnd"/>
      <w:r w:rsidRPr="00004161">
        <w:rPr>
          <w:i/>
          <w:iCs/>
          <w:sz w:val="22"/>
          <w:szCs w:val="22"/>
          <w:lang w:val="en-US"/>
        </w:rPr>
        <w:t xml:space="preserve"> de la </w:t>
      </w:r>
      <w:proofErr w:type="spellStart"/>
      <w:r w:rsidRPr="00004161">
        <w:rPr>
          <w:i/>
          <w:iCs/>
          <w:sz w:val="22"/>
          <w:szCs w:val="22"/>
          <w:lang w:val="en-US"/>
        </w:rPr>
        <w:t>Prusse</w:t>
      </w:r>
      <w:proofErr w:type="spellEnd"/>
      <w:r w:rsidRPr="00004161">
        <w:rPr>
          <w:i/>
          <w:iCs/>
          <w:sz w:val="22"/>
          <w:szCs w:val="22"/>
          <w:lang w:val="en-US"/>
        </w:rPr>
        <w:t>. 1600-1947</w:t>
      </w:r>
      <w:r w:rsidRPr="00004161">
        <w:rPr>
          <w:sz w:val="22"/>
          <w:szCs w:val="22"/>
          <w:lang w:val="en-US"/>
        </w:rPr>
        <w:t>, Paris, Perrin 2008.</w:t>
      </w:r>
    </w:p>
    <w:p w14:paraId="063E564E" w14:textId="77777777" w:rsidR="00682346" w:rsidRPr="00004161" w:rsidRDefault="00682346" w:rsidP="0093614C">
      <w:pPr>
        <w:pStyle w:val="VDIBibliographie"/>
        <w:rPr>
          <w:sz w:val="22"/>
          <w:szCs w:val="22"/>
          <w:lang w:val="en-US"/>
        </w:rPr>
      </w:pPr>
      <w:r w:rsidRPr="00004161">
        <w:rPr>
          <w:sz w:val="22"/>
          <w:szCs w:val="22"/>
          <w:lang w:val="en-US"/>
        </w:rPr>
        <w:t xml:space="preserve">Christopher Clark, </w:t>
      </w:r>
      <w:r w:rsidRPr="00004161">
        <w:rPr>
          <w:i/>
          <w:iCs/>
          <w:sz w:val="22"/>
          <w:szCs w:val="22"/>
          <w:lang w:val="en-US"/>
        </w:rPr>
        <w:t>Kaiser Wilhelm II</w:t>
      </w:r>
      <w:r w:rsidRPr="00004161">
        <w:rPr>
          <w:sz w:val="22"/>
          <w:szCs w:val="22"/>
          <w:lang w:val="en-US"/>
        </w:rPr>
        <w:t>, Harlow, Longman, 2000.</w:t>
      </w:r>
    </w:p>
    <w:p w14:paraId="2081A09D" w14:textId="36F3A55C" w:rsidR="00682346" w:rsidRPr="00004161" w:rsidRDefault="00682346" w:rsidP="0093614C">
      <w:pPr>
        <w:pStyle w:val="VDIBibliographie"/>
        <w:rPr>
          <w:sz w:val="22"/>
          <w:szCs w:val="22"/>
        </w:rPr>
      </w:pPr>
      <w:r w:rsidRPr="00004161">
        <w:rPr>
          <w:sz w:val="22"/>
          <w:szCs w:val="22"/>
          <w:lang w:val="en-US"/>
        </w:rPr>
        <w:t xml:space="preserve">Christopher Clark, </w:t>
      </w:r>
      <w:r w:rsidRPr="00004161">
        <w:rPr>
          <w:i/>
          <w:iCs/>
          <w:sz w:val="22"/>
          <w:szCs w:val="22"/>
          <w:lang w:val="en-US"/>
        </w:rPr>
        <w:t>The Sleepwalkers</w:t>
      </w:r>
      <w:r w:rsidRPr="00004161">
        <w:rPr>
          <w:sz w:val="22"/>
          <w:szCs w:val="22"/>
          <w:lang w:val="en-US"/>
        </w:rPr>
        <w:t xml:space="preserve">. </w:t>
      </w:r>
      <w:r w:rsidRPr="00004161">
        <w:rPr>
          <w:i/>
          <w:iCs/>
          <w:sz w:val="22"/>
          <w:szCs w:val="22"/>
          <w:lang w:val="en-US"/>
        </w:rPr>
        <w:t>How Europe went to war in 1914</w:t>
      </w:r>
      <w:r w:rsidRPr="00004161">
        <w:rPr>
          <w:sz w:val="22"/>
          <w:szCs w:val="22"/>
          <w:lang w:val="en-US"/>
        </w:rPr>
        <w:t xml:space="preserve">, </w:t>
      </w:r>
      <w:proofErr w:type="spellStart"/>
      <w:r w:rsidRPr="00004161">
        <w:rPr>
          <w:sz w:val="22"/>
          <w:szCs w:val="22"/>
          <w:lang w:val="en-US"/>
        </w:rPr>
        <w:t>Londres</w:t>
      </w:r>
      <w:proofErr w:type="spellEnd"/>
      <w:r w:rsidRPr="00004161">
        <w:rPr>
          <w:sz w:val="22"/>
          <w:szCs w:val="22"/>
          <w:lang w:val="en-US"/>
        </w:rPr>
        <w:t xml:space="preserve">, Allan Lane, 2012, </w:t>
      </w:r>
      <w:proofErr w:type="spellStart"/>
      <w:r w:rsidRPr="00004161">
        <w:rPr>
          <w:sz w:val="22"/>
          <w:szCs w:val="22"/>
          <w:lang w:val="en-US"/>
        </w:rPr>
        <w:t>traduit</w:t>
      </w:r>
      <w:proofErr w:type="spellEnd"/>
      <w:r w:rsidRPr="00004161">
        <w:rPr>
          <w:sz w:val="22"/>
          <w:szCs w:val="22"/>
          <w:lang w:val="en-US"/>
        </w:rPr>
        <w:t xml:space="preserve"> </w:t>
      </w:r>
      <w:proofErr w:type="spellStart"/>
      <w:r w:rsidRPr="00004161">
        <w:rPr>
          <w:sz w:val="22"/>
          <w:szCs w:val="22"/>
          <w:lang w:val="en-US"/>
        </w:rPr>
        <w:t>en</w:t>
      </w:r>
      <w:proofErr w:type="spellEnd"/>
      <w:r w:rsidRPr="00004161">
        <w:rPr>
          <w:sz w:val="22"/>
          <w:szCs w:val="22"/>
          <w:lang w:val="en-US"/>
        </w:rPr>
        <w:t xml:space="preserve"> </w:t>
      </w:r>
      <w:proofErr w:type="spellStart"/>
      <w:r w:rsidRPr="00004161">
        <w:rPr>
          <w:sz w:val="22"/>
          <w:szCs w:val="22"/>
          <w:lang w:val="en-US"/>
        </w:rPr>
        <w:t>français</w:t>
      </w:r>
      <w:proofErr w:type="spellEnd"/>
      <w:r w:rsidR="0093614C" w:rsidRPr="00004161">
        <w:rPr>
          <w:sz w:val="22"/>
          <w:szCs w:val="22"/>
          <w:lang w:val="en-US"/>
        </w:rPr>
        <w:t xml:space="preserve"> par Marie-Anne de </w:t>
      </w:r>
      <w:proofErr w:type="spellStart"/>
      <w:proofErr w:type="gramStart"/>
      <w:r w:rsidR="0093614C" w:rsidRPr="00004161">
        <w:rPr>
          <w:sz w:val="22"/>
          <w:szCs w:val="22"/>
          <w:lang w:val="en-US"/>
        </w:rPr>
        <w:t>Béru</w:t>
      </w:r>
      <w:proofErr w:type="spellEnd"/>
      <w:r w:rsidR="0093614C" w:rsidRPr="00004161">
        <w:rPr>
          <w:sz w:val="22"/>
          <w:szCs w:val="22"/>
          <w:lang w:val="en-US"/>
        </w:rPr>
        <w:t xml:space="preserve"> :</w:t>
      </w:r>
      <w:proofErr w:type="gramEnd"/>
      <w:r w:rsidRPr="00004161">
        <w:rPr>
          <w:sz w:val="22"/>
          <w:szCs w:val="22"/>
          <w:lang w:val="en-US"/>
        </w:rPr>
        <w:t xml:space="preserve"> </w:t>
      </w:r>
      <w:r w:rsidRPr="00004161">
        <w:rPr>
          <w:i/>
          <w:iCs/>
          <w:sz w:val="22"/>
          <w:szCs w:val="22"/>
          <w:lang w:val="en-US"/>
        </w:rPr>
        <w:t xml:space="preserve">Les </w:t>
      </w:r>
      <w:proofErr w:type="spellStart"/>
      <w:r w:rsidRPr="00004161">
        <w:rPr>
          <w:i/>
          <w:iCs/>
          <w:sz w:val="22"/>
          <w:szCs w:val="22"/>
          <w:lang w:val="en-US"/>
        </w:rPr>
        <w:t>Somnambules</w:t>
      </w:r>
      <w:proofErr w:type="spellEnd"/>
      <w:r w:rsidRPr="00004161">
        <w:rPr>
          <w:i/>
          <w:iCs/>
          <w:sz w:val="22"/>
          <w:szCs w:val="22"/>
          <w:lang w:val="en-US"/>
        </w:rPr>
        <w:t xml:space="preserve">. </w:t>
      </w:r>
      <w:r w:rsidRPr="00004161">
        <w:rPr>
          <w:i/>
          <w:iCs/>
          <w:sz w:val="22"/>
          <w:szCs w:val="22"/>
        </w:rPr>
        <w:t>Été 1914, comment l’Europe a marché vers la guerre</w:t>
      </w:r>
      <w:r w:rsidRPr="00004161">
        <w:rPr>
          <w:sz w:val="22"/>
          <w:szCs w:val="22"/>
        </w:rPr>
        <w:t>, Paris, Flammarion, 2014.</w:t>
      </w:r>
    </w:p>
    <w:p w14:paraId="27FB7C4E" w14:textId="77777777" w:rsidR="00682346" w:rsidRPr="00004161" w:rsidRDefault="00682346" w:rsidP="0093614C">
      <w:pPr>
        <w:pStyle w:val="VDIBibliographie"/>
        <w:rPr>
          <w:sz w:val="22"/>
          <w:szCs w:val="22"/>
          <w:lang w:val="en-US"/>
        </w:rPr>
      </w:pPr>
      <w:r w:rsidRPr="00004161">
        <w:rPr>
          <w:sz w:val="22"/>
          <w:szCs w:val="22"/>
          <w:lang w:val="en-US"/>
        </w:rPr>
        <w:t xml:space="preserve">Peter </w:t>
      </w:r>
      <w:proofErr w:type="spellStart"/>
      <w:r w:rsidRPr="00004161">
        <w:rPr>
          <w:sz w:val="22"/>
          <w:szCs w:val="22"/>
          <w:lang w:val="en-US"/>
        </w:rPr>
        <w:t>Fritzsche</w:t>
      </w:r>
      <w:proofErr w:type="spellEnd"/>
      <w:r w:rsidRPr="00004161">
        <w:rPr>
          <w:sz w:val="22"/>
          <w:szCs w:val="22"/>
          <w:lang w:val="en-US"/>
        </w:rPr>
        <w:t xml:space="preserve">, </w:t>
      </w:r>
      <w:r w:rsidRPr="00004161">
        <w:rPr>
          <w:i/>
          <w:iCs/>
          <w:sz w:val="22"/>
          <w:szCs w:val="22"/>
          <w:lang w:val="en-US"/>
        </w:rPr>
        <w:t>Stranded in the Present. Modern Time and the Melancholy of History</w:t>
      </w:r>
      <w:r w:rsidRPr="00004161">
        <w:rPr>
          <w:sz w:val="22"/>
          <w:szCs w:val="22"/>
          <w:lang w:val="en-US"/>
        </w:rPr>
        <w:t>, Cambridge (Mass.), Harvard University Press, 2004.</w:t>
      </w:r>
    </w:p>
    <w:p w14:paraId="75DC8AEF" w14:textId="77777777" w:rsidR="00682346" w:rsidRPr="00004161" w:rsidRDefault="00682346" w:rsidP="0093614C">
      <w:pPr>
        <w:pStyle w:val="VDIBibliographie"/>
        <w:rPr>
          <w:sz w:val="22"/>
          <w:szCs w:val="22"/>
        </w:rPr>
      </w:pPr>
      <w:r w:rsidRPr="00004161">
        <w:rPr>
          <w:sz w:val="22"/>
          <w:szCs w:val="22"/>
          <w:lang w:val="en-US"/>
        </w:rPr>
        <w:t xml:space="preserve">Emilio Gentile, « Fascism as a Political Religion », </w:t>
      </w:r>
      <w:r w:rsidRPr="00004161">
        <w:rPr>
          <w:i/>
          <w:iCs/>
          <w:sz w:val="22"/>
          <w:szCs w:val="22"/>
          <w:lang w:val="en-US"/>
        </w:rPr>
        <w:t>Journal of Contemporary History</w:t>
      </w:r>
      <w:r w:rsidRPr="00004161">
        <w:rPr>
          <w:sz w:val="22"/>
          <w:szCs w:val="22"/>
          <w:lang w:val="en-US"/>
        </w:rPr>
        <w:t>, vol. 25, n</w:t>
      </w:r>
      <w:r w:rsidRPr="00004161">
        <w:rPr>
          <w:sz w:val="22"/>
          <w:szCs w:val="22"/>
          <w:vertAlign w:val="superscript"/>
          <w:lang w:val="en-US"/>
        </w:rPr>
        <w:t>o</w:t>
      </w:r>
      <w:r w:rsidRPr="00004161">
        <w:rPr>
          <w:sz w:val="22"/>
          <w:szCs w:val="22"/>
          <w:lang w:val="en-US"/>
        </w:rPr>
        <w:t xml:space="preserve"> 2-3, 1990, p. 229-251. </w:t>
      </w:r>
      <w:hyperlink r:id="rId9" w:history="1">
        <w:r w:rsidRPr="00004161">
          <w:rPr>
            <w:rStyle w:val="Lienhypertexte"/>
            <w:sz w:val="22"/>
            <w:szCs w:val="22"/>
          </w:rPr>
          <w:t>https://www.jstor.org/stable/260731</w:t>
        </w:r>
      </w:hyperlink>
    </w:p>
    <w:p w14:paraId="28CAE16C" w14:textId="77777777" w:rsidR="00682346" w:rsidRPr="00004161" w:rsidRDefault="00682346" w:rsidP="0093614C">
      <w:pPr>
        <w:pStyle w:val="VDIBibliographie"/>
        <w:rPr>
          <w:sz w:val="22"/>
          <w:szCs w:val="22"/>
        </w:rPr>
      </w:pPr>
      <w:r w:rsidRPr="00004161">
        <w:rPr>
          <w:sz w:val="22"/>
          <w:szCs w:val="22"/>
        </w:rPr>
        <w:t xml:space="preserve">François </w:t>
      </w:r>
      <w:proofErr w:type="spellStart"/>
      <w:r w:rsidRPr="00004161">
        <w:rPr>
          <w:sz w:val="22"/>
          <w:szCs w:val="22"/>
        </w:rPr>
        <w:t>Hartog</w:t>
      </w:r>
      <w:proofErr w:type="spellEnd"/>
      <w:r w:rsidRPr="00004161">
        <w:rPr>
          <w:sz w:val="22"/>
          <w:szCs w:val="22"/>
        </w:rPr>
        <w:t xml:space="preserve">, </w:t>
      </w:r>
      <w:r w:rsidRPr="00004161">
        <w:rPr>
          <w:i/>
          <w:iCs/>
          <w:sz w:val="22"/>
          <w:szCs w:val="22"/>
        </w:rPr>
        <w:t>Régimes d’historicité. Présentisme et expériences du temps</w:t>
      </w:r>
      <w:r w:rsidRPr="00004161">
        <w:rPr>
          <w:sz w:val="22"/>
          <w:szCs w:val="22"/>
        </w:rPr>
        <w:t>, Paris, Seuil (La Librairie du XXI</w:t>
      </w:r>
      <w:r w:rsidRPr="00004161">
        <w:rPr>
          <w:sz w:val="22"/>
          <w:szCs w:val="22"/>
          <w:vertAlign w:val="superscript"/>
        </w:rPr>
        <w:t>e</w:t>
      </w:r>
      <w:r w:rsidRPr="00004161">
        <w:rPr>
          <w:sz w:val="22"/>
          <w:szCs w:val="22"/>
        </w:rPr>
        <w:t xml:space="preserve"> siècle), 2003.</w:t>
      </w:r>
    </w:p>
    <w:p w14:paraId="0A36A39C" w14:textId="77777777" w:rsidR="00682346" w:rsidRPr="00004161" w:rsidRDefault="00682346" w:rsidP="0093614C">
      <w:pPr>
        <w:pStyle w:val="VDIBibliographie"/>
        <w:rPr>
          <w:sz w:val="22"/>
          <w:szCs w:val="22"/>
        </w:rPr>
      </w:pPr>
      <w:r w:rsidRPr="00004161">
        <w:rPr>
          <w:sz w:val="22"/>
          <w:szCs w:val="22"/>
          <w:lang w:val="en-US"/>
        </w:rPr>
        <w:t xml:space="preserve">Jürgen </w:t>
      </w:r>
      <w:proofErr w:type="spellStart"/>
      <w:r w:rsidRPr="00004161">
        <w:rPr>
          <w:sz w:val="22"/>
          <w:szCs w:val="22"/>
          <w:lang w:val="en-US"/>
        </w:rPr>
        <w:t>Kocka</w:t>
      </w:r>
      <w:proofErr w:type="spellEnd"/>
      <w:r w:rsidRPr="00004161">
        <w:rPr>
          <w:sz w:val="22"/>
          <w:szCs w:val="22"/>
          <w:lang w:val="en-US"/>
        </w:rPr>
        <w:t xml:space="preserve">, « German History before Hitler. The Debate about the German Sonderweg », </w:t>
      </w:r>
      <w:r w:rsidRPr="00004161">
        <w:rPr>
          <w:i/>
          <w:iCs/>
          <w:sz w:val="22"/>
          <w:szCs w:val="22"/>
          <w:lang w:val="en-US"/>
        </w:rPr>
        <w:t>Journal of Contemporary History</w:t>
      </w:r>
      <w:r w:rsidRPr="00004161">
        <w:rPr>
          <w:sz w:val="22"/>
          <w:szCs w:val="22"/>
          <w:lang w:val="en-US"/>
        </w:rPr>
        <w:t>, vol. 23, n</w:t>
      </w:r>
      <w:r w:rsidRPr="00004161">
        <w:rPr>
          <w:sz w:val="22"/>
          <w:szCs w:val="22"/>
          <w:vertAlign w:val="superscript"/>
          <w:lang w:val="en-US"/>
        </w:rPr>
        <w:t>o</w:t>
      </w:r>
      <w:r w:rsidRPr="00004161">
        <w:rPr>
          <w:sz w:val="22"/>
          <w:szCs w:val="22"/>
          <w:lang w:val="en-US"/>
        </w:rPr>
        <w:t xml:space="preserve"> 1, 1988, p. 3-16. </w:t>
      </w:r>
      <w:hyperlink r:id="rId10" w:history="1">
        <w:r w:rsidRPr="00004161">
          <w:rPr>
            <w:rStyle w:val="Lienhypertexte"/>
            <w:sz w:val="22"/>
            <w:szCs w:val="22"/>
          </w:rPr>
          <w:t>https://www.jstor.org/stable/260865</w:t>
        </w:r>
      </w:hyperlink>
    </w:p>
    <w:p w14:paraId="6D2F5410" w14:textId="3AD6CE44" w:rsidR="00682346" w:rsidRPr="00004161" w:rsidRDefault="00682346" w:rsidP="0093614C">
      <w:pPr>
        <w:pStyle w:val="VDIBibliographie"/>
        <w:rPr>
          <w:sz w:val="22"/>
          <w:szCs w:val="22"/>
        </w:rPr>
      </w:pPr>
      <w:proofErr w:type="spellStart"/>
      <w:r w:rsidRPr="00004161">
        <w:rPr>
          <w:sz w:val="22"/>
          <w:szCs w:val="22"/>
        </w:rPr>
        <w:t>Reinhart</w:t>
      </w:r>
      <w:proofErr w:type="spellEnd"/>
      <w:r w:rsidRPr="00004161">
        <w:rPr>
          <w:sz w:val="22"/>
          <w:szCs w:val="22"/>
        </w:rPr>
        <w:t xml:space="preserve"> </w:t>
      </w:r>
      <w:proofErr w:type="spellStart"/>
      <w:r w:rsidRPr="00004161">
        <w:rPr>
          <w:sz w:val="22"/>
          <w:szCs w:val="22"/>
        </w:rPr>
        <w:t>Koselleck</w:t>
      </w:r>
      <w:proofErr w:type="spellEnd"/>
      <w:r w:rsidRPr="00004161">
        <w:rPr>
          <w:sz w:val="22"/>
          <w:szCs w:val="22"/>
        </w:rPr>
        <w:t xml:space="preserve">, </w:t>
      </w:r>
      <w:proofErr w:type="spellStart"/>
      <w:r w:rsidRPr="00004161">
        <w:rPr>
          <w:sz w:val="22"/>
          <w:szCs w:val="22"/>
        </w:rPr>
        <w:t>Vergangene</w:t>
      </w:r>
      <w:proofErr w:type="spellEnd"/>
      <w:r w:rsidRPr="00004161">
        <w:rPr>
          <w:sz w:val="22"/>
          <w:szCs w:val="22"/>
        </w:rPr>
        <w:t xml:space="preserve"> </w:t>
      </w:r>
      <w:proofErr w:type="spellStart"/>
      <w:r w:rsidRPr="00004161">
        <w:rPr>
          <w:sz w:val="22"/>
          <w:szCs w:val="22"/>
        </w:rPr>
        <w:t>Zukunft</w:t>
      </w:r>
      <w:proofErr w:type="spellEnd"/>
      <w:r w:rsidRPr="00004161">
        <w:rPr>
          <w:sz w:val="22"/>
          <w:szCs w:val="22"/>
        </w:rPr>
        <w:t xml:space="preserve">. </w:t>
      </w:r>
      <w:r w:rsidRPr="00004161">
        <w:rPr>
          <w:i/>
          <w:iCs/>
          <w:sz w:val="22"/>
          <w:szCs w:val="22"/>
        </w:rPr>
        <w:t xml:space="preserve">Zur </w:t>
      </w:r>
      <w:proofErr w:type="spellStart"/>
      <w:r w:rsidRPr="00004161">
        <w:rPr>
          <w:i/>
          <w:iCs/>
          <w:sz w:val="22"/>
          <w:szCs w:val="22"/>
        </w:rPr>
        <w:t>Semantik</w:t>
      </w:r>
      <w:proofErr w:type="spellEnd"/>
      <w:r w:rsidRPr="00004161">
        <w:rPr>
          <w:i/>
          <w:iCs/>
          <w:sz w:val="22"/>
          <w:szCs w:val="22"/>
        </w:rPr>
        <w:t xml:space="preserve"> </w:t>
      </w:r>
      <w:proofErr w:type="spellStart"/>
      <w:r w:rsidRPr="00004161">
        <w:rPr>
          <w:i/>
          <w:iCs/>
          <w:sz w:val="22"/>
          <w:szCs w:val="22"/>
        </w:rPr>
        <w:t>geschichtlicher</w:t>
      </w:r>
      <w:proofErr w:type="spellEnd"/>
      <w:r w:rsidRPr="00004161">
        <w:rPr>
          <w:i/>
          <w:iCs/>
          <w:sz w:val="22"/>
          <w:szCs w:val="22"/>
        </w:rPr>
        <w:t xml:space="preserve"> </w:t>
      </w:r>
      <w:proofErr w:type="spellStart"/>
      <w:r w:rsidRPr="00004161">
        <w:rPr>
          <w:i/>
          <w:iCs/>
          <w:sz w:val="22"/>
          <w:szCs w:val="22"/>
        </w:rPr>
        <w:t>Zeiten</w:t>
      </w:r>
      <w:proofErr w:type="spellEnd"/>
      <w:r w:rsidRPr="00004161">
        <w:rPr>
          <w:sz w:val="22"/>
          <w:szCs w:val="22"/>
        </w:rPr>
        <w:t xml:space="preserve">, Francfort-sur-le-Main, </w:t>
      </w:r>
      <w:proofErr w:type="spellStart"/>
      <w:r w:rsidRPr="00004161">
        <w:rPr>
          <w:sz w:val="22"/>
          <w:szCs w:val="22"/>
        </w:rPr>
        <w:t>Suhrkamp</w:t>
      </w:r>
      <w:proofErr w:type="spellEnd"/>
      <w:r w:rsidRPr="00004161">
        <w:rPr>
          <w:sz w:val="22"/>
          <w:szCs w:val="22"/>
        </w:rPr>
        <w:t xml:space="preserve">, 1979, </w:t>
      </w:r>
      <w:r w:rsidR="0093614C" w:rsidRPr="00004161">
        <w:rPr>
          <w:sz w:val="22"/>
          <w:szCs w:val="22"/>
        </w:rPr>
        <w:t xml:space="preserve">trad. par Jochen </w:t>
      </w:r>
      <w:proofErr w:type="spellStart"/>
      <w:r w:rsidR="0093614C" w:rsidRPr="00004161">
        <w:rPr>
          <w:sz w:val="22"/>
          <w:szCs w:val="22"/>
        </w:rPr>
        <w:t>Hoock</w:t>
      </w:r>
      <w:proofErr w:type="spellEnd"/>
      <w:r w:rsidR="0093614C" w:rsidRPr="00004161">
        <w:rPr>
          <w:sz w:val="22"/>
          <w:szCs w:val="22"/>
        </w:rPr>
        <w:t xml:space="preserve"> et Marie-Claire </w:t>
      </w:r>
      <w:proofErr w:type="spellStart"/>
      <w:r w:rsidR="0093614C" w:rsidRPr="00004161">
        <w:rPr>
          <w:sz w:val="22"/>
          <w:szCs w:val="22"/>
        </w:rPr>
        <w:t>Hoock</w:t>
      </w:r>
      <w:proofErr w:type="spellEnd"/>
      <w:r w:rsidR="0093614C" w:rsidRPr="00004161">
        <w:rPr>
          <w:sz w:val="22"/>
          <w:szCs w:val="22"/>
        </w:rPr>
        <w:t xml:space="preserve"> : </w:t>
      </w:r>
      <w:r w:rsidRPr="00004161">
        <w:rPr>
          <w:i/>
          <w:iCs/>
          <w:sz w:val="22"/>
          <w:szCs w:val="22"/>
        </w:rPr>
        <w:t>Le futur passé. Contribution à la sémantique des temps historiques</w:t>
      </w:r>
      <w:r w:rsidRPr="00004161">
        <w:rPr>
          <w:sz w:val="22"/>
          <w:szCs w:val="22"/>
        </w:rPr>
        <w:t>, Paris, Éditions de l’EHESS, 2016 [1990].</w:t>
      </w:r>
    </w:p>
    <w:p w14:paraId="2B9D8B58" w14:textId="1CB8CB3F" w:rsidR="00E75C6B" w:rsidRPr="0093614C" w:rsidRDefault="00682346" w:rsidP="0093614C">
      <w:pPr>
        <w:pStyle w:val="VDIBibliographie"/>
        <w:rPr>
          <w:lang w:val="en-US"/>
        </w:rPr>
      </w:pPr>
      <w:r w:rsidRPr="00004161">
        <w:rPr>
          <w:sz w:val="22"/>
          <w:szCs w:val="22"/>
          <w:lang w:val="en-US"/>
        </w:rPr>
        <w:t>Heinrich August</w:t>
      </w:r>
      <w:r w:rsidRPr="00FC5754">
        <w:rPr>
          <w:lang w:val="en-US"/>
        </w:rPr>
        <w:t xml:space="preserve"> </w:t>
      </w:r>
      <w:r w:rsidRPr="00004161">
        <w:rPr>
          <w:sz w:val="22"/>
          <w:szCs w:val="22"/>
          <w:lang w:val="en-US"/>
        </w:rPr>
        <w:t xml:space="preserve">Winkler, </w:t>
      </w:r>
      <w:r w:rsidRPr="00004161">
        <w:rPr>
          <w:i/>
          <w:iCs/>
          <w:sz w:val="22"/>
          <w:szCs w:val="22"/>
          <w:lang w:val="en-US"/>
        </w:rPr>
        <w:t xml:space="preserve">Der </w:t>
      </w:r>
      <w:proofErr w:type="spellStart"/>
      <w:r w:rsidRPr="00004161">
        <w:rPr>
          <w:i/>
          <w:iCs/>
          <w:sz w:val="22"/>
          <w:szCs w:val="22"/>
          <w:lang w:val="en-US"/>
        </w:rPr>
        <w:t>lange</w:t>
      </w:r>
      <w:proofErr w:type="spellEnd"/>
      <w:r w:rsidRPr="00004161">
        <w:rPr>
          <w:i/>
          <w:iCs/>
          <w:sz w:val="22"/>
          <w:szCs w:val="22"/>
          <w:lang w:val="en-US"/>
        </w:rPr>
        <w:t xml:space="preserve"> </w:t>
      </w:r>
      <w:proofErr w:type="spellStart"/>
      <w:r w:rsidRPr="00004161">
        <w:rPr>
          <w:i/>
          <w:iCs/>
          <w:sz w:val="22"/>
          <w:szCs w:val="22"/>
          <w:lang w:val="en-US"/>
        </w:rPr>
        <w:t>Weg</w:t>
      </w:r>
      <w:proofErr w:type="spellEnd"/>
      <w:r w:rsidRPr="00004161">
        <w:rPr>
          <w:i/>
          <w:iCs/>
          <w:sz w:val="22"/>
          <w:szCs w:val="22"/>
          <w:lang w:val="en-US"/>
        </w:rPr>
        <w:t xml:space="preserve"> </w:t>
      </w:r>
      <w:proofErr w:type="spellStart"/>
      <w:r w:rsidRPr="00004161">
        <w:rPr>
          <w:i/>
          <w:iCs/>
          <w:sz w:val="22"/>
          <w:szCs w:val="22"/>
          <w:lang w:val="en-US"/>
        </w:rPr>
        <w:t>nach</w:t>
      </w:r>
      <w:proofErr w:type="spellEnd"/>
      <w:r w:rsidRPr="00004161">
        <w:rPr>
          <w:i/>
          <w:iCs/>
          <w:sz w:val="22"/>
          <w:szCs w:val="22"/>
          <w:lang w:val="en-US"/>
        </w:rPr>
        <w:t xml:space="preserve"> </w:t>
      </w:r>
      <w:proofErr w:type="spellStart"/>
      <w:r w:rsidRPr="00004161">
        <w:rPr>
          <w:i/>
          <w:iCs/>
          <w:sz w:val="22"/>
          <w:szCs w:val="22"/>
          <w:lang w:val="en-US"/>
        </w:rPr>
        <w:t>Westen</w:t>
      </w:r>
      <w:proofErr w:type="spellEnd"/>
      <w:r w:rsidRPr="00004161">
        <w:rPr>
          <w:sz w:val="22"/>
          <w:szCs w:val="22"/>
          <w:lang w:val="en-US"/>
        </w:rPr>
        <w:t>, 2 vol., Munich, Beck, 2000.</w:t>
      </w:r>
    </w:p>
    <w:p w14:paraId="55F77985" w14:textId="0FC2120A" w:rsidR="0063372A" w:rsidRDefault="0063372A" w:rsidP="0063372A">
      <w:pPr>
        <w:pStyle w:val="VDIdate"/>
      </w:pPr>
      <w:r>
        <w:t>Publié dans lavi</w:t>
      </w:r>
      <w:r w:rsidR="006E7A74">
        <w:t>e</w:t>
      </w:r>
      <w:r>
        <w:t xml:space="preserve">desidees.fr, le </w:t>
      </w:r>
      <w:r w:rsidR="00004161">
        <w:t>13 mai</w:t>
      </w:r>
      <w:r w:rsidR="00C70344">
        <w:t xml:space="preserve"> 2020</w:t>
      </w:r>
      <w:r>
        <w:t>.</w:t>
      </w:r>
    </w:p>
    <w:sectPr w:rsidR="0063372A" w:rsidSect="00472187">
      <w:footerReference w:type="default" r:id="rId11"/>
      <w:headerReference w:type="first" r:id="rId12"/>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DDCCA" w14:textId="77777777" w:rsidR="00FA67AF" w:rsidRDefault="00FA67AF">
      <w:r>
        <w:separator/>
      </w:r>
    </w:p>
  </w:endnote>
  <w:endnote w:type="continuationSeparator" w:id="0">
    <w:p w14:paraId="4042E103" w14:textId="77777777" w:rsidR="00FA67AF" w:rsidRDefault="00FA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4B514"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4E7B9" w14:textId="77777777" w:rsidR="00FA67AF" w:rsidRDefault="00FA67AF">
      <w:r>
        <w:separator/>
      </w:r>
    </w:p>
  </w:footnote>
  <w:footnote w:type="continuationSeparator" w:id="0">
    <w:p w14:paraId="5C8356C9" w14:textId="77777777" w:rsidR="00FA67AF" w:rsidRDefault="00FA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48B3" w14:textId="77777777" w:rsidR="007A1268" w:rsidRDefault="007A1268" w:rsidP="007A1268">
    <w:pPr>
      <w:pStyle w:val="En-tte"/>
      <w:jc w:val="both"/>
    </w:pPr>
    <w:r w:rsidRPr="007A1268">
      <w:rPr>
        <w:noProof/>
      </w:rPr>
      <w:drawing>
        <wp:inline distT="0" distB="0" distL="0" distR="0" wp14:anchorId="46C1EEC9" wp14:editId="18F27D3F">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4161"/>
    <w:rsid w:val="0000797A"/>
    <w:rsid w:val="00031798"/>
    <w:rsid w:val="000462B1"/>
    <w:rsid w:val="00076CDA"/>
    <w:rsid w:val="000A449F"/>
    <w:rsid w:val="000B2407"/>
    <w:rsid w:val="000C3EA2"/>
    <w:rsid w:val="000E1207"/>
    <w:rsid w:val="00100FDE"/>
    <w:rsid w:val="001264AC"/>
    <w:rsid w:val="001A60CD"/>
    <w:rsid w:val="001B22FA"/>
    <w:rsid w:val="001C0661"/>
    <w:rsid w:val="001E233F"/>
    <w:rsid w:val="001E4C4E"/>
    <w:rsid w:val="001E6BFF"/>
    <w:rsid w:val="001F2932"/>
    <w:rsid w:val="00235E33"/>
    <w:rsid w:val="0028766C"/>
    <w:rsid w:val="002E3677"/>
    <w:rsid w:val="003253C2"/>
    <w:rsid w:val="0034118B"/>
    <w:rsid w:val="003616E4"/>
    <w:rsid w:val="00370594"/>
    <w:rsid w:val="003A3728"/>
    <w:rsid w:val="003B1DDC"/>
    <w:rsid w:val="003B3E7A"/>
    <w:rsid w:val="00411810"/>
    <w:rsid w:val="00424A7A"/>
    <w:rsid w:val="00427A80"/>
    <w:rsid w:val="00437286"/>
    <w:rsid w:val="00440B6F"/>
    <w:rsid w:val="00463500"/>
    <w:rsid w:val="00472187"/>
    <w:rsid w:val="00481F8F"/>
    <w:rsid w:val="004D6529"/>
    <w:rsid w:val="004F57E5"/>
    <w:rsid w:val="005069BE"/>
    <w:rsid w:val="005A77EA"/>
    <w:rsid w:val="005C5829"/>
    <w:rsid w:val="00604921"/>
    <w:rsid w:val="00617961"/>
    <w:rsid w:val="00632336"/>
    <w:rsid w:val="0063372A"/>
    <w:rsid w:val="006432B1"/>
    <w:rsid w:val="00681218"/>
    <w:rsid w:val="00682346"/>
    <w:rsid w:val="00685886"/>
    <w:rsid w:val="006E7A74"/>
    <w:rsid w:val="0072515D"/>
    <w:rsid w:val="0073080B"/>
    <w:rsid w:val="00740D4F"/>
    <w:rsid w:val="007701E0"/>
    <w:rsid w:val="007922AF"/>
    <w:rsid w:val="00792FBC"/>
    <w:rsid w:val="007A1268"/>
    <w:rsid w:val="007B5D97"/>
    <w:rsid w:val="007E729E"/>
    <w:rsid w:val="00865FAE"/>
    <w:rsid w:val="008B1967"/>
    <w:rsid w:val="008C7D8A"/>
    <w:rsid w:val="008D57AB"/>
    <w:rsid w:val="008E46DD"/>
    <w:rsid w:val="008E5CFF"/>
    <w:rsid w:val="008F50DA"/>
    <w:rsid w:val="009243CE"/>
    <w:rsid w:val="0093614C"/>
    <w:rsid w:val="009403BD"/>
    <w:rsid w:val="00953330"/>
    <w:rsid w:val="00961394"/>
    <w:rsid w:val="0098253B"/>
    <w:rsid w:val="009968AD"/>
    <w:rsid w:val="009F57ED"/>
    <w:rsid w:val="00A55C33"/>
    <w:rsid w:val="00A8559A"/>
    <w:rsid w:val="00AD258A"/>
    <w:rsid w:val="00AE4248"/>
    <w:rsid w:val="00B05675"/>
    <w:rsid w:val="00B24251"/>
    <w:rsid w:val="00B83048"/>
    <w:rsid w:val="00B90D39"/>
    <w:rsid w:val="00BB0030"/>
    <w:rsid w:val="00BB1A65"/>
    <w:rsid w:val="00BC76CE"/>
    <w:rsid w:val="00BF0C14"/>
    <w:rsid w:val="00C35861"/>
    <w:rsid w:val="00C70344"/>
    <w:rsid w:val="00C71D32"/>
    <w:rsid w:val="00C92AF8"/>
    <w:rsid w:val="00CA54CB"/>
    <w:rsid w:val="00CA6A71"/>
    <w:rsid w:val="00CD2835"/>
    <w:rsid w:val="00CE3519"/>
    <w:rsid w:val="00CE415E"/>
    <w:rsid w:val="00D06258"/>
    <w:rsid w:val="00D128B5"/>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5C6B"/>
    <w:rsid w:val="00E82115"/>
    <w:rsid w:val="00E957F2"/>
    <w:rsid w:val="00ED5C35"/>
    <w:rsid w:val="00EE1383"/>
    <w:rsid w:val="00F0353B"/>
    <w:rsid w:val="00F049B7"/>
    <w:rsid w:val="00F43C5F"/>
    <w:rsid w:val="00F607AA"/>
    <w:rsid w:val="00FA67AF"/>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DB27"/>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styleId="Marquedecommentaire">
    <w:name w:val="annotation reference"/>
    <w:basedOn w:val="Policepardfaut"/>
    <w:uiPriority w:val="99"/>
    <w:semiHidden/>
    <w:unhideWhenUsed/>
    <w:rsid w:val="00682346"/>
    <w:rPr>
      <w:sz w:val="16"/>
      <w:szCs w:val="16"/>
    </w:rPr>
  </w:style>
  <w:style w:type="paragraph" w:styleId="Commentaire">
    <w:name w:val="annotation text"/>
    <w:basedOn w:val="Normal"/>
    <w:link w:val="CommentaireCar"/>
    <w:uiPriority w:val="99"/>
    <w:semiHidden/>
    <w:unhideWhenUsed/>
    <w:rsid w:val="00682346"/>
    <w:pPr>
      <w:jc w:val="both"/>
    </w:pPr>
    <w:rPr>
      <w:rFonts w:ascii="Times New Roman" w:eastAsia="Times New Roman" w:hAnsi="Times New Roman" w:cs="Times New Roman"/>
      <w:sz w:val="20"/>
      <w:szCs w:val="20"/>
      <w:lang w:eastAsia="nl-NL"/>
    </w:rPr>
  </w:style>
  <w:style w:type="character" w:customStyle="1" w:styleId="CommentaireCar">
    <w:name w:val="Commentaire Car"/>
    <w:basedOn w:val="Policepardfaut"/>
    <w:link w:val="Commentaire"/>
    <w:uiPriority w:val="99"/>
    <w:semiHidden/>
    <w:rsid w:val="00682346"/>
    <w:rPr>
      <w:rFonts w:eastAsia="Times New Roman"/>
      <w:bdr w:val="none" w:sz="0" w:space="0" w:color="auto"/>
      <w:lang w:eastAsia="nl-NL"/>
    </w:rPr>
  </w:style>
  <w:style w:type="paragraph" w:styleId="Textedebulles">
    <w:name w:val="Balloon Text"/>
    <w:basedOn w:val="Normal"/>
    <w:link w:val="TextedebullesCar"/>
    <w:uiPriority w:val="99"/>
    <w:semiHidden/>
    <w:unhideWhenUsed/>
    <w:rsid w:val="006823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82346"/>
    <w:rPr>
      <w:rFonts w:eastAsiaTheme="minorHAnsi"/>
      <w:sz w:val="18"/>
      <w:szCs w:val="18"/>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jstor.org/stable/260865" TargetMode="External"/><Relationship Id="rId4" Type="http://schemas.openxmlformats.org/officeDocument/2006/relationships/styles" Target="styles.xml"/><Relationship Id="rId9" Type="http://schemas.openxmlformats.org/officeDocument/2006/relationships/hyperlink" Target="https://www.jstor.org/stable/26073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19391D-E569-C440-8C73-CA2014CE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15</TotalTime>
  <Pages>5</Pages>
  <Words>2095</Words>
  <Characters>11566</Characters>
  <Application>Microsoft Office Word</Application>
  <DocSecurity>0</DocSecurity>
  <Lines>158</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6</cp:revision>
  <dcterms:created xsi:type="dcterms:W3CDTF">2020-04-12T12:08:00Z</dcterms:created>
  <dcterms:modified xsi:type="dcterms:W3CDTF">2020-05-05T14:34:00Z</dcterms:modified>
</cp:coreProperties>
</file>