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64A8A" w14:textId="77777777" w:rsidR="00922C9B" w:rsidRDefault="00922C9B" w:rsidP="00922C9B">
      <w:pPr>
        <w:pStyle w:val="VDITitre"/>
      </w:pPr>
      <w:r w:rsidRPr="00592DA0">
        <w:t>Les droits humains, compagnons impuissants du néolibéralisme</w:t>
      </w:r>
    </w:p>
    <w:p w14:paraId="24667BCF" w14:textId="77777777" w:rsidR="00922C9B" w:rsidRDefault="00922C9B" w:rsidP="00922C9B"/>
    <w:p w14:paraId="79BAE839" w14:textId="1756045E" w:rsidR="00922C9B" w:rsidRPr="00307070" w:rsidRDefault="00922C9B" w:rsidP="00922C9B">
      <w:pPr>
        <w:pStyle w:val="VDIAuteur"/>
      </w:pPr>
      <w:r>
        <w:t xml:space="preserve">Par Élodie </w:t>
      </w:r>
      <w:proofErr w:type="spellStart"/>
      <w:r>
        <w:t>Djordjevic</w:t>
      </w:r>
      <w:proofErr w:type="spellEnd"/>
    </w:p>
    <w:p w14:paraId="5BF2D77F" w14:textId="77777777" w:rsidR="00922C9B" w:rsidRPr="00976948" w:rsidRDefault="00922C9B" w:rsidP="00922C9B">
      <w:pPr>
        <w:pStyle w:val="VDIChapo"/>
      </w:pPr>
      <w:r w:rsidRPr="00976948">
        <w:t xml:space="preserve">Les </w:t>
      </w:r>
      <w:proofErr w:type="spellStart"/>
      <w:r w:rsidRPr="00976948">
        <w:t>droits</w:t>
      </w:r>
      <w:proofErr w:type="spellEnd"/>
      <w:r w:rsidRPr="00976948">
        <w:t xml:space="preserve"> </w:t>
      </w:r>
      <w:proofErr w:type="spellStart"/>
      <w:r w:rsidRPr="00976948">
        <w:t>humains</w:t>
      </w:r>
      <w:proofErr w:type="spellEnd"/>
      <w:r w:rsidRPr="00976948">
        <w:t xml:space="preserve"> ne </w:t>
      </w:r>
      <w:r>
        <w:t xml:space="preserve">sont pas un rempart contre la montée des inégalités. Au contraire, ils s’accommodent très bien d’un simple idéal de subsistance, qui ne prévient pas les écarts de richesse. Difficile dans ces conditions d’en faire un instrument d’émancipation. </w:t>
      </w:r>
    </w:p>
    <w:p w14:paraId="6FF14E4E" w14:textId="1CC960DD" w:rsidR="00922C9B" w:rsidRDefault="00922C9B" w:rsidP="00922C9B">
      <w:pPr>
        <w:pStyle w:val="VDIRecens"/>
        <w:rPr>
          <w:lang w:val="en-US"/>
        </w:rPr>
      </w:pPr>
      <w:r>
        <w:rPr>
          <w:lang w:val="en-US"/>
        </w:rPr>
        <w:t xml:space="preserve">À </w:t>
      </w:r>
      <w:proofErr w:type="spellStart"/>
      <w:r>
        <w:rPr>
          <w:lang w:val="en-US"/>
        </w:rPr>
        <w:t>propos</w:t>
      </w:r>
      <w:proofErr w:type="spellEnd"/>
      <w:r>
        <w:rPr>
          <w:lang w:val="en-US"/>
        </w:rPr>
        <w:t xml:space="preserve"> </w:t>
      </w:r>
      <w:proofErr w:type="gramStart"/>
      <w:r>
        <w:rPr>
          <w:lang w:val="en-US"/>
        </w:rPr>
        <w:t>de :</w:t>
      </w:r>
      <w:proofErr w:type="gramEnd"/>
      <w:r>
        <w:rPr>
          <w:lang w:val="en-US"/>
        </w:rPr>
        <w:t xml:space="preserve"> </w:t>
      </w:r>
      <w:r w:rsidRPr="007C6620">
        <w:rPr>
          <w:lang w:val="en-US"/>
        </w:rPr>
        <w:t xml:space="preserve">Samuel </w:t>
      </w:r>
      <w:proofErr w:type="spellStart"/>
      <w:r w:rsidRPr="007C6620">
        <w:rPr>
          <w:lang w:val="en-US"/>
        </w:rPr>
        <w:t>Moyn</w:t>
      </w:r>
      <w:proofErr w:type="spellEnd"/>
      <w:r w:rsidRPr="007C6620">
        <w:rPr>
          <w:lang w:val="en-US"/>
        </w:rPr>
        <w:t xml:space="preserve">, </w:t>
      </w:r>
      <w:r w:rsidRPr="007C6620">
        <w:rPr>
          <w:i/>
          <w:lang w:val="en-US"/>
        </w:rPr>
        <w:t xml:space="preserve">Not Enough. </w:t>
      </w:r>
      <w:r w:rsidRPr="00592DA0">
        <w:rPr>
          <w:i/>
          <w:lang w:val="en-US"/>
        </w:rPr>
        <w:t>Human Rights in an Unequal World</w:t>
      </w:r>
      <w:r w:rsidRPr="00592DA0">
        <w:rPr>
          <w:lang w:val="en-US"/>
        </w:rPr>
        <w:t xml:space="preserve">, </w:t>
      </w:r>
      <w:bookmarkStart w:id="0" w:name="_Hlk10622275"/>
      <w:r w:rsidRPr="00592DA0">
        <w:rPr>
          <w:lang w:val="en-US"/>
        </w:rPr>
        <w:t>Cambridge</w:t>
      </w:r>
      <w:r>
        <w:rPr>
          <w:lang w:val="en-US"/>
        </w:rPr>
        <w:t xml:space="preserve"> (</w:t>
      </w:r>
      <w:r w:rsidRPr="00592DA0">
        <w:rPr>
          <w:lang w:val="en-US"/>
        </w:rPr>
        <w:t>Mass.</w:t>
      </w:r>
      <w:r>
        <w:rPr>
          <w:lang w:val="en-US"/>
        </w:rPr>
        <w:t>)</w:t>
      </w:r>
      <w:r w:rsidRPr="00592DA0">
        <w:rPr>
          <w:lang w:val="en-US"/>
        </w:rPr>
        <w:t>, The Belknap of Harvard University Press, 2018</w:t>
      </w:r>
      <w:bookmarkEnd w:id="0"/>
      <w:r w:rsidR="00ED6787">
        <w:rPr>
          <w:lang w:val="en-US"/>
        </w:rPr>
        <w:t>, 296 p</w:t>
      </w:r>
      <w:r w:rsidRPr="00592DA0">
        <w:rPr>
          <w:lang w:val="en-US"/>
        </w:rPr>
        <w:t>.</w:t>
      </w:r>
      <w:bookmarkStart w:id="1" w:name="_GoBack"/>
      <w:bookmarkEnd w:id="1"/>
    </w:p>
    <w:p w14:paraId="157E89E4" w14:textId="77777777" w:rsidR="00922C9B" w:rsidRPr="00592DA0" w:rsidRDefault="00922C9B" w:rsidP="00922C9B">
      <w:pPr>
        <w:pStyle w:val="Corps"/>
      </w:pPr>
      <w:r w:rsidRPr="00592DA0">
        <w:t xml:space="preserve">Moins de dix ans après la parution de </w:t>
      </w:r>
      <w:r w:rsidRPr="00592DA0">
        <w:rPr>
          <w:i/>
        </w:rPr>
        <w:t xml:space="preserve">The Last </w:t>
      </w:r>
      <w:proofErr w:type="spellStart"/>
      <w:r w:rsidRPr="00592DA0">
        <w:rPr>
          <w:i/>
        </w:rPr>
        <w:t>Utopia</w:t>
      </w:r>
      <w:proofErr w:type="spellEnd"/>
      <w:r w:rsidRPr="00592DA0">
        <w:rPr>
          <w:rStyle w:val="Appelnotedebasdep"/>
          <w:rFonts w:ascii="Garamond" w:hAnsi="Garamond"/>
          <w:iCs/>
        </w:rPr>
        <w:footnoteReference w:id="1"/>
      </w:r>
      <w:r w:rsidRPr="00592DA0">
        <w:t>, ce sont de nouveau ces « </w:t>
      </w:r>
      <w:proofErr w:type="gramStart"/>
      <w:r w:rsidRPr="00592DA0">
        <w:t>droits</w:t>
      </w:r>
      <w:proofErr w:type="gramEnd"/>
      <w:r w:rsidRPr="00592DA0">
        <w:t xml:space="preserve"> humains » alors soigneusement distingués des « droits de l’homme »</w:t>
      </w:r>
      <w:r>
        <w:rPr>
          <w:rStyle w:val="Appelnotedebasdep"/>
          <w:rFonts w:ascii="Garamond" w:hAnsi="Garamond"/>
        </w:rPr>
        <w:footnoteReference w:id="2"/>
      </w:r>
      <w:r w:rsidRPr="00592DA0">
        <w:t xml:space="preserve"> que S</w:t>
      </w:r>
      <w:r>
        <w:t>. </w:t>
      </w:r>
      <w:proofErr w:type="spellStart"/>
      <w:r w:rsidRPr="00592DA0">
        <w:t>Moyn</w:t>
      </w:r>
      <w:proofErr w:type="spellEnd"/>
      <w:r w:rsidRPr="00592DA0">
        <w:t xml:space="preserve"> examine dans </w:t>
      </w:r>
      <w:r>
        <w:t>c</w:t>
      </w:r>
      <w:r w:rsidRPr="00592DA0">
        <w:rPr>
          <w:iCs/>
        </w:rPr>
        <w:t>e nouvel opus</w:t>
      </w:r>
      <w:r>
        <w:rPr>
          <w:iCs/>
        </w:rPr>
        <w:t xml:space="preserve"> qui</w:t>
      </w:r>
      <w:r w:rsidRPr="00592DA0">
        <w:rPr>
          <w:iCs/>
        </w:rPr>
        <w:t xml:space="preserve"> prolonge</w:t>
      </w:r>
      <w:r w:rsidRPr="00592DA0">
        <w:t xml:space="preserve"> et </w:t>
      </w:r>
      <w:r>
        <w:t>éprouve</w:t>
      </w:r>
      <w:r w:rsidRPr="00592DA0">
        <w:t xml:space="preserve"> les thèses du premier à la lumière de la montée – et du triomphe – du néolibéralisme, phénomène </w:t>
      </w:r>
      <w:r w:rsidRPr="00592DA0">
        <w:lastRenderedPageBreak/>
        <w:t>con</w:t>
      </w:r>
      <w:r>
        <w:t>temporain</w:t>
      </w:r>
      <w:r w:rsidRPr="00592DA0">
        <w:t xml:space="preserve"> de celui par lequel les droits humains se sont imposés comme notre « dernière utopie ». Partant de </w:t>
      </w:r>
      <w:r>
        <w:t>l’</w:t>
      </w:r>
      <w:r w:rsidRPr="00592DA0">
        <w:t>apparent paradoxe</w:t>
      </w:r>
      <w:r>
        <w:t xml:space="preserve"> par lequel l</w:t>
      </w:r>
      <w:r w:rsidRPr="00592DA0">
        <w:t>’âge d’or des droits humains est</w:t>
      </w:r>
      <w:r>
        <w:t xml:space="preserve"> aussi celui</w:t>
      </w:r>
      <w:r w:rsidRPr="00592DA0">
        <w:t xml:space="preserve"> des plus riches et des plus grandes inégalités de richesse, l’ouvrage vise à éclairer les raisons par lesquelles les droits humains s’accommodent si bien d’un accroissement exponentiel des inégalités et sont devenus l’idéal le plus élevé d’un monde dont l’organisation économique et politique est structurellement productrice d’inégalités matérielles, tant au sein des États qu’à l’échelle mondiale.</w:t>
      </w:r>
    </w:p>
    <w:p w14:paraId="327CAA33" w14:textId="77777777" w:rsidR="00922C9B" w:rsidRPr="00592DA0" w:rsidRDefault="00922C9B" w:rsidP="00922C9B">
      <w:pPr>
        <w:pStyle w:val="VDIIntertitre"/>
      </w:pPr>
      <w:r w:rsidRPr="00592DA0">
        <w:t>Suffisance et égalité</w:t>
      </w:r>
    </w:p>
    <w:p w14:paraId="739A2D1B" w14:textId="72D9F3DC" w:rsidR="00922C9B" w:rsidRPr="00DE1732" w:rsidRDefault="00922C9B" w:rsidP="00922C9B">
      <w:pPr>
        <w:pStyle w:val="Corps"/>
      </w:pPr>
      <w:r w:rsidRPr="00DE1732">
        <w:t>Bien que de grands progrès soient à mettre au crédit des droits humains s’agissant de l’égalité statutaire, leur triomphe n’en a pas moins coïncidé avec l’abandon de l’exigence d’égalité matérielle au profit de la seule suffisance, et la « distinction fondamentale », posée dès l’introduction, entre « idéal de suffisance » (</w:t>
      </w:r>
      <w:proofErr w:type="spellStart"/>
      <w:r w:rsidRPr="00DE1732">
        <w:rPr>
          <w:i/>
        </w:rPr>
        <w:t>ideal</w:t>
      </w:r>
      <w:proofErr w:type="spellEnd"/>
      <w:r w:rsidRPr="00DE1732">
        <w:rPr>
          <w:i/>
        </w:rPr>
        <w:t xml:space="preserve"> of </w:t>
      </w:r>
      <w:proofErr w:type="spellStart"/>
      <w:r w:rsidRPr="00DE1732">
        <w:rPr>
          <w:i/>
        </w:rPr>
        <w:t>sufficiency</w:t>
      </w:r>
      <w:proofErr w:type="spellEnd"/>
      <w:r w:rsidRPr="00DE1732">
        <w:t>) et « idéal d’égalité » (</w:t>
      </w:r>
      <w:proofErr w:type="spellStart"/>
      <w:r w:rsidRPr="00DE1732">
        <w:rPr>
          <w:i/>
        </w:rPr>
        <w:t>ideal</w:t>
      </w:r>
      <w:proofErr w:type="spellEnd"/>
      <w:r w:rsidRPr="00DE1732">
        <w:rPr>
          <w:i/>
        </w:rPr>
        <w:t xml:space="preserve"> of </w:t>
      </w:r>
      <w:proofErr w:type="spellStart"/>
      <w:r w:rsidRPr="00DE1732">
        <w:rPr>
          <w:i/>
        </w:rPr>
        <w:t>equality</w:t>
      </w:r>
      <w:proofErr w:type="spellEnd"/>
      <w:r w:rsidR="0036705E">
        <w:rPr>
          <w:i/>
        </w:rPr>
        <w:t xml:space="preserve">, </w:t>
      </w:r>
      <w:r w:rsidR="0036705E" w:rsidRPr="00922C9B">
        <w:t>p. 3 sq.</w:t>
      </w:r>
      <w:r w:rsidRPr="00DE1732">
        <w:t>), sert de fil conducteur à l’enquête, comme de crit</w:t>
      </w:r>
      <w:r>
        <w:t>é</w:t>
      </w:r>
      <w:r w:rsidRPr="00DE1732">
        <w:t>rium pour la détermination de la teneur des droits économiques et sociaux corrélés aux droits humains.</w:t>
      </w:r>
    </w:p>
    <w:p w14:paraId="7CC1690E" w14:textId="77777777" w:rsidR="00922C9B" w:rsidRDefault="00922C9B" w:rsidP="00922C9B">
      <w:pPr>
        <w:pStyle w:val="Corps"/>
      </w:pPr>
      <w:r w:rsidRPr="00592DA0">
        <w:t>Fondé sur la définition d’un seuil minimal de biens, le premier « idéal » vise l’obtention, pour cha</w:t>
      </w:r>
      <w:r>
        <w:t>cun</w:t>
      </w:r>
      <w:r w:rsidRPr="00592DA0">
        <w:t>, d’un niveau d’approvisionnement convenable, tenu pour nécessaire à la satisfaction de réquisits posés par ailleurs. Dans ce cadre, l’égalité n’est en rien déterminante</w:t>
      </w:r>
      <w:r>
        <w:t>. U</w:t>
      </w:r>
      <w:r w:rsidRPr="00592DA0">
        <w:t xml:space="preserve">ne fois le seuil de suffisance atteint pour chacun, peu importe que </w:t>
      </w:r>
      <w:r>
        <w:t>soient présents l</w:t>
      </w:r>
      <w:r w:rsidRPr="00592DA0">
        <w:t>es plus grands écarts de richesse : il suffit que chacun ait ce qui (lui) suffit. L</w:t>
      </w:r>
      <w:proofErr w:type="gramStart"/>
      <w:r w:rsidRPr="00592DA0">
        <w:t>’«</w:t>
      </w:r>
      <w:proofErr w:type="gramEnd"/>
      <w:r w:rsidRPr="00592DA0">
        <w:t xml:space="preserve"> idéal d’égalité » en revanche ne vise pas seulement à conjurer l’indigence, mais exige en outre un minimum d’égalité dans la répartition des richesses. </w:t>
      </w:r>
      <w:r>
        <w:t xml:space="preserve">Il ne prescrit </w:t>
      </w:r>
      <w:r w:rsidRPr="00592DA0">
        <w:t>pas une égalité matérielle absolue, mais une modération des inégalités matérielles, seule à même de conjurer, outre la pauvreté, les risques de dislocation sociale et la domination de</w:t>
      </w:r>
      <w:r>
        <w:t>s plus riches sur les plus pauvres</w:t>
      </w:r>
      <w:r w:rsidRPr="00592DA0">
        <w:t xml:space="preserve"> que de trop grandes inégalités produisent nécessairement. Pour une telle position, tant du point de vue de la justice que d’un point de vue pragmatique, il </w:t>
      </w:r>
      <w:r w:rsidRPr="00592DA0">
        <w:rPr>
          <w:i/>
        </w:rPr>
        <w:t xml:space="preserve">ne </w:t>
      </w:r>
      <w:r w:rsidRPr="00592DA0">
        <w:t>suffit</w:t>
      </w:r>
      <w:r w:rsidRPr="00592DA0">
        <w:rPr>
          <w:i/>
        </w:rPr>
        <w:t xml:space="preserve"> pas </w:t>
      </w:r>
      <w:r w:rsidRPr="00592DA0">
        <w:t>que chacun ait ce qui lui suffit : assez n’est pas assez.</w:t>
      </w:r>
      <w:r>
        <w:t xml:space="preserve"> </w:t>
      </w:r>
    </w:p>
    <w:p w14:paraId="22E82EDB" w14:textId="77777777" w:rsidR="00922C9B" w:rsidRPr="00592DA0" w:rsidRDefault="00922C9B" w:rsidP="00922C9B">
      <w:pPr>
        <w:pStyle w:val="Corps"/>
      </w:pPr>
      <w:r w:rsidRPr="00592DA0">
        <w:t>Or, s’il n’y a pas nécessairement de rapport de disjonction exclusive entre les deux types d’idéaux, il ne va pas non plus de soi qu’ils aillent toujours de pair. La contemporanéité montre même le contraire, qui manifeste une parfaite compatibilité de l’aspiration à la s</w:t>
      </w:r>
      <w:r>
        <w:t xml:space="preserve">uffisance </w:t>
      </w:r>
      <w:r w:rsidRPr="00592DA0">
        <w:t xml:space="preserve">avec l’existence des plus grandes inégalités. </w:t>
      </w:r>
      <w:r>
        <w:lastRenderedPageBreak/>
        <w:t>Historiquement toutefois, b</w:t>
      </w:r>
      <w:r w:rsidRPr="00592DA0">
        <w:t>ien qu’ils n’aient pu l’accomplir pleinement dans les faits</w:t>
      </w:r>
      <w:r>
        <w:t>, la tentative de liaison de ces deux idéaux a bien existé qui est le fait des Jacobins, l</w:t>
      </w:r>
      <w:r w:rsidRPr="00592DA0">
        <w:t>a pression des Sans-culottes a</w:t>
      </w:r>
      <w:r>
        <w:t>yant</w:t>
      </w:r>
      <w:r w:rsidRPr="00592DA0">
        <w:t xml:space="preserve"> permis la liaison de la question des « subsistances » et du « droit d’exister » à l’exigence de revenus égaux</w:t>
      </w:r>
      <w:r>
        <w:t xml:space="preserve">. En cette </w:t>
      </w:r>
      <w:r w:rsidRPr="00592DA0">
        <w:t xml:space="preserve">combinaison </w:t>
      </w:r>
      <w:r>
        <w:t xml:space="preserve">jacobine </w:t>
      </w:r>
      <w:r w:rsidRPr="00592DA0">
        <w:t xml:space="preserve">de l’idéal de suffisance avec </w:t>
      </w:r>
      <w:r>
        <w:t>l’</w:t>
      </w:r>
      <w:r w:rsidRPr="00592DA0">
        <w:t>idéal égalitaire</w:t>
      </w:r>
      <w:r>
        <w:t xml:space="preserve"> résident les origines de la justice sociale et l’héritage que veut exhumer le premier chapitre : ayant </w:t>
      </w:r>
      <w:r w:rsidRPr="00592DA0">
        <w:t xml:space="preserve">trouvé dans le </w:t>
      </w:r>
      <w:proofErr w:type="spellStart"/>
      <w:r w:rsidRPr="00592DA0">
        <w:rPr>
          <w:i/>
          <w:iCs/>
        </w:rPr>
        <w:t>welfare</w:t>
      </w:r>
      <w:proofErr w:type="spellEnd"/>
      <w:r w:rsidRPr="00592DA0">
        <w:rPr>
          <w:i/>
          <w:iCs/>
        </w:rPr>
        <w:t xml:space="preserve"> state</w:t>
      </w:r>
      <w:r w:rsidRPr="00592DA0">
        <w:rPr>
          <w:rStyle w:val="Appelnotedebasdep"/>
          <w:rFonts w:ascii="Garamond" w:hAnsi="Garamond"/>
        </w:rPr>
        <w:footnoteReference w:id="3"/>
      </w:r>
      <w:r w:rsidRPr="00592DA0">
        <w:rPr>
          <w:i/>
          <w:iCs/>
        </w:rPr>
        <w:t xml:space="preserve"> </w:t>
      </w:r>
      <w:r w:rsidRPr="00592DA0">
        <w:t xml:space="preserve">sa réalisation institutionnelle et politique la plus aboutie, </w:t>
      </w:r>
      <w:r>
        <w:t xml:space="preserve">cette « synthèse » </w:t>
      </w:r>
      <w:r w:rsidRPr="00592DA0">
        <w:t>est aujourd’hui morte ou du moins moribonde, tombée sous les coups du néolibéralisme sans que les droits humains se soient interposés pour la maintenir debout</w:t>
      </w:r>
      <w:r w:rsidRPr="00592DA0">
        <w:rPr>
          <w:rStyle w:val="Appelnotedebasdep"/>
          <w:rFonts w:ascii="Garamond" w:hAnsi="Garamond"/>
        </w:rPr>
        <w:footnoteReference w:id="4"/>
      </w:r>
      <w:r w:rsidRPr="00592DA0">
        <w:t>.</w:t>
      </w:r>
    </w:p>
    <w:p w14:paraId="405A4945" w14:textId="77777777" w:rsidR="00922C9B" w:rsidRPr="00592DA0" w:rsidRDefault="00922C9B" w:rsidP="00922C9B">
      <w:pPr>
        <w:pStyle w:val="VDIIntertitre"/>
      </w:pPr>
      <w:r w:rsidRPr="00592DA0">
        <w:t xml:space="preserve">Transposer à l’échelle mondiale les principes du </w:t>
      </w:r>
      <w:proofErr w:type="spellStart"/>
      <w:r w:rsidRPr="00592DA0">
        <w:t>welfare</w:t>
      </w:r>
      <w:proofErr w:type="spellEnd"/>
      <w:r w:rsidRPr="00592DA0">
        <w:t xml:space="preserve"> state ?</w:t>
      </w:r>
    </w:p>
    <w:p w14:paraId="62B9C15E" w14:textId="77777777" w:rsidR="00922C9B" w:rsidRPr="00592DA0" w:rsidRDefault="00922C9B" w:rsidP="00922C9B">
      <w:pPr>
        <w:pStyle w:val="Corps"/>
      </w:pPr>
      <w:r>
        <w:t xml:space="preserve">Éclairant </w:t>
      </w:r>
      <w:r w:rsidRPr="00592DA0">
        <w:t xml:space="preserve">la liaison de cette « synthèse jacobine » avec la réalité historique du </w:t>
      </w:r>
      <w:proofErr w:type="spellStart"/>
      <w:r w:rsidRPr="00592DA0">
        <w:rPr>
          <w:i/>
        </w:rPr>
        <w:t>welfare</w:t>
      </w:r>
      <w:proofErr w:type="spellEnd"/>
      <w:r w:rsidRPr="00592DA0">
        <w:rPr>
          <w:i/>
        </w:rPr>
        <w:t xml:space="preserve"> state</w:t>
      </w:r>
      <w:r>
        <w:rPr>
          <w:iCs/>
        </w:rPr>
        <w:t xml:space="preserve">, </w:t>
      </w:r>
      <w:r w:rsidRPr="00592DA0">
        <w:t>les chap</w:t>
      </w:r>
      <w:r>
        <w:t>itres</w:t>
      </w:r>
      <w:r w:rsidRPr="00592DA0">
        <w:t xml:space="preserve"> 2 et 3 </w:t>
      </w:r>
      <w:r>
        <w:t>examinent</w:t>
      </w:r>
      <w:r w:rsidRPr="00592DA0">
        <w:t xml:space="preserve"> à nouveaux frais la Déclaration universelle de 1948 et le « Second Bill of </w:t>
      </w:r>
      <w:proofErr w:type="spellStart"/>
      <w:r w:rsidRPr="00592DA0">
        <w:t>Rights</w:t>
      </w:r>
      <w:proofErr w:type="spellEnd"/>
      <w:r w:rsidRPr="00592DA0">
        <w:t> » de F.D. Roosevelt</w:t>
      </w:r>
      <w:r>
        <w:t xml:space="preserve">, qui ont tous deux </w:t>
      </w:r>
      <w:r w:rsidRPr="00592DA0">
        <w:t>pu être interprétés comme des tentatives, sinon des réalisations, d</w:t>
      </w:r>
      <w:r>
        <w:t xml:space="preserve">’une « mondialisation » des principes </w:t>
      </w:r>
      <w:r w:rsidRPr="00592DA0">
        <w:t xml:space="preserve">de justice portés par le </w:t>
      </w:r>
      <w:proofErr w:type="spellStart"/>
      <w:r w:rsidRPr="00592DA0">
        <w:rPr>
          <w:i/>
        </w:rPr>
        <w:t>welfare</w:t>
      </w:r>
      <w:proofErr w:type="spellEnd"/>
      <w:r w:rsidRPr="00592DA0">
        <w:rPr>
          <w:i/>
        </w:rPr>
        <w:t xml:space="preserve"> state</w:t>
      </w:r>
      <w:r w:rsidRPr="00592DA0">
        <w:t>.</w:t>
      </w:r>
    </w:p>
    <w:p w14:paraId="0B3C232B" w14:textId="0FCF4D8A" w:rsidR="00922C9B" w:rsidRDefault="00922C9B" w:rsidP="00922C9B">
      <w:pPr>
        <w:pStyle w:val="Corps"/>
        <w:rPr>
          <w:iCs/>
        </w:rPr>
      </w:pPr>
      <w:r>
        <w:t xml:space="preserve">À l’encontre de sa lecture </w:t>
      </w:r>
      <w:r w:rsidRPr="00592DA0">
        <w:t xml:space="preserve">à partir des prémisses néolibérales de notre temps, </w:t>
      </w:r>
      <w:r>
        <w:t>l</w:t>
      </w:r>
      <w:r w:rsidRPr="00592DA0">
        <w:t>a Déclaration Universelle de 1948 doit être repla</w:t>
      </w:r>
      <w:r>
        <w:t>cée</w:t>
      </w:r>
      <w:r w:rsidRPr="00592DA0">
        <w:t xml:space="preserve"> dans son contexte, celui de l’âge d’or du </w:t>
      </w:r>
      <w:proofErr w:type="spellStart"/>
      <w:r w:rsidRPr="00592DA0">
        <w:rPr>
          <w:i/>
        </w:rPr>
        <w:t>welfare</w:t>
      </w:r>
      <w:proofErr w:type="spellEnd"/>
      <w:r w:rsidRPr="00592DA0">
        <w:rPr>
          <w:i/>
        </w:rPr>
        <w:t xml:space="preserve"> state</w:t>
      </w:r>
      <w:r w:rsidRPr="00273E7B">
        <w:t> :</w:t>
      </w:r>
      <w:r>
        <w:rPr>
          <w:iCs/>
        </w:rPr>
        <w:t xml:space="preserve"> loin de l’importance qu’on lui reconnaît aujourd’hui, </w:t>
      </w:r>
      <w:r w:rsidRPr="0013144B">
        <w:rPr>
          <w:iCs/>
        </w:rPr>
        <w:t xml:space="preserve">elle </w:t>
      </w:r>
      <w:r w:rsidRPr="0013144B">
        <w:t>n</w:t>
      </w:r>
      <w:r>
        <w:t>’était alors</w:t>
      </w:r>
      <w:r w:rsidRPr="0013144B">
        <w:t xml:space="preserve"> qu’un « satellite mineur gravitant autour du programme de </w:t>
      </w:r>
      <w:proofErr w:type="spellStart"/>
      <w:r w:rsidRPr="0013144B">
        <w:rPr>
          <w:i/>
        </w:rPr>
        <w:t>welfare</w:t>
      </w:r>
      <w:proofErr w:type="spellEnd"/>
      <w:r w:rsidRPr="0013144B">
        <w:t xml:space="preserve"> national »</w:t>
      </w:r>
      <w:r w:rsidR="0036705E">
        <w:t xml:space="preserve"> (</w:t>
      </w:r>
      <w:r w:rsidR="0036705E" w:rsidRPr="00922C9B">
        <w:t>p. 91</w:t>
      </w:r>
      <w:r w:rsidR="0036705E">
        <w:t>)</w:t>
      </w:r>
      <w:r>
        <w:t xml:space="preserve">. </w:t>
      </w:r>
      <w:r w:rsidRPr="008A08E8">
        <w:t>L’inscription des droits sociaux n’est elle-même qu’une justification indirecte d</w:t>
      </w:r>
      <w:r>
        <w:t>e celui-ci</w:t>
      </w:r>
      <w:r w:rsidRPr="008A08E8">
        <w:t xml:space="preserve">, appuyant et soutenant l’intervention et la planification étatiques : les droits sociaux sont subordonnés à la consolidation de l’existence d’un </w:t>
      </w:r>
      <w:proofErr w:type="spellStart"/>
      <w:r w:rsidRPr="008A08E8">
        <w:rPr>
          <w:i/>
          <w:iCs/>
        </w:rPr>
        <w:t>welfare</w:t>
      </w:r>
      <w:proofErr w:type="spellEnd"/>
      <w:r w:rsidRPr="008A08E8">
        <w:rPr>
          <w:i/>
          <w:iCs/>
        </w:rPr>
        <w:t xml:space="preserve"> state </w:t>
      </w:r>
      <w:r w:rsidRPr="008A08E8">
        <w:t xml:space="preserve">dont, à l’instar des aspirations à la justice sociale et à l’égalité alors présentes dans le monde, le discours des droits n’est pas la langue privilégiée. La langue de 1948 n’est pas (encore) la langue des droits, mais il s’agit bien d’une langue parlée par des États </w:t>
      </w:r>
      <w:r w:rsidRPr="008A08E8">
        <w:rPr>
          <w:i/>
          <w:iCs/>
        </w:rPr>
        <w:t>nationaux</w:t>
      </w:r>
      <w:r w:rsidRPr="008A08E8">
        <w:t xml:space="preserve">, et en dépit des références de son préambule « aux mesures progressives, nationales et </w:t>
      </w:r>
      <w:r w:rsidRPr="008A08E8">
        <w:lastRenderedPageBreak/>
        <w:t>internationales</w:t>
      </w:r>
      <w:r w:rsidRPr="008A08E8">
        <w:rPr>
          <w:rStyle w:val="Appelnotedebasdep"/>
          <w:rFonts w:ascii="Garamond" w:hAnsi="Garamond"/>
        </w:rPr>
        <w:footnoteReference w:id="5"/>
      </w:r>
      <w:r>
        <w:t> »</w:t>
      </w:r>
      <w:r w:rsidRPr="008A08E8">
        <w:t>, aucun</w:t>
      </w:r>
      <w:r>
        <w:t>e</w:t>
      </w:r>
      <w:r w:rsidRPr="00592DA0">
        <w:t xml:space="preserve"> politique transfrontalière de droits sociaux </w:t>
      </w:r>
      <w:r>
        <w:t>n’est alors sérieusement envisagée.</w:t>
      </w:r>
    </w:p>
    <w:p w14:paraId="1D1DF14E" w14:textId="77777777" w:rsidR="00922C9B" w:rsidRPr="00592DA0" w:rsidRDefault="00922C9B" w:rsidP="00922C9B">
      <w:pPr>
        <w:pStyle w:val="Corps"/>
      </w:pPr>
      <w:r w:rsidRPr="00592DA0">
        <w:t xml:space="preserve">Selon un geste identique qui conjure les lectures rétrospectives, </w:t>
      </w:r>
      <w:proofErr w:type="spellStart"/>
      <w:r w:rsidRPr="00592DA0">
        <w:t>Moyn</w:t>
      </w:r>
      <w:proofErr w:type="spellEnd"/>
      <w:r w:rsidRPr="00592DA0">
        <w:t xml:space="preserve"> montre que</w:t>
      </w:r>
      <w:r>
        <w:t xml:space="preserve"> loin d’être un </w:t>
      </w:r>
      <w:r w:rsidRPr="00592DA0">
        <w:t xml:space="preserve">jalon en vue de la réalisation d’un </w:t>
      </w:r>
      <w:proofErr w:type="spellStart"/>
      <w:r w:rsidRPr="00592DA0">
        <w:rPr>
          <w:i/>
        </w:rPr>
        <w:t>welfare</w:t>
      </w:r>
      <w:proofErr w:type="spellEnd"/>
      <w:r w:rsidRPr="00592DA0">
        <w:rPr>
          <w:i/>
        </w:rPr>
        <w:t xml:space="preserve"> </w:t>
      </w:r>
      <w:r>
        <w:rPr>
          <w:i/>
        </w:rPr>
        <w:t>world</w:t>
      </w:r>
      <w:r w:rsidRPr="00592DA0">
        <w:t xml:space="preserve">, le fameux « Second Bill of </w:t>
      </w:r>
      <w:proofErr w:type="spellStart"/>
      <w:r w:rsidRPr="00592DA0">
        <w:t>Rights</w:t>
      </w:r>
      <w:proofErr w:type="spellEnd"/>
      <w:r w:rsidRPr="00592DA0">
        <w:t> » annoncé par Roosevelt dans son discours sur l’état de l’union de janvier 1944 sonne en réalité le glas du New Deal, et manifeste l’échec d’une transformation d’un « État de guerre » (</w:t>
      </w:r>
      <w:proofErr w:type="spellStart"/>
      <w:r w:rsidRPr="00592DA0">
        <w:rPr>
          <w:i/>
        </w:rPr>
        <w:t>warfare</w:t>
      </w:r>
      <w:proofErr w:type="spellEnd"/>
      <w:r w:rsidRPr="00592DA0">
        <w:rPr>
          <w:i/>
        </w:rPr>
        <w:t xml:space="preserve"> state</w:t>
      </w:r>
      <w:r w:rsidRPr="00592DA0">
        <w:t xml:space="preserve">), de son organisation de l’économie et de la production, de la planification et de la redistribution qui l’ont accompagné en </w:t>
      </w:r>
      <w:proofErr w:type="spellStart"/>
      <w:r w:rsidRPr="00592DA0">
        <w:rPr>
          <w:i/>
        </w:rPr>
        <w:t>welfare</w:t>
      </w:r>
      <w:proofErr w:type="spellEnd"/>
      <w:r w:rsidRPr="00592DA0">
        <w:rPr>
          <w:i/>
        </w:rPr>
        <w:t xml:space="preserve"> state</w:t>
      </w:r>
      <w:r w:rsidRPr="00592DA0">
        <w:t xml:space="preserve"> pérenne. </w:t>
      </w:r>
      <w:r>
        <w:t>C</w:t>
      </w:r>
      <w:r w:rsidRPr="00592DA0">
        <w:t>ontre</w:t>
      </w:r>
      <w:r>
        <w:t xml:space="preserve"> </w:t>
      </w:r>
      <w:proofErr w:type="spellStart"/>
      <w:r w:rsidRPr="00592DA0">
        <w:t>Sunstein</w:t>
      </w:r>
      <w:proofErr w:type="spellEnd"/>
      <w:r w:rsidRPr="00592DA0">
        <w:rPr>
          <w:rStyle w:val="Appelnotedebasdep"/>
          <w:rFonts w:ascii="Garamond" w:hAnsi="Garamond"/>
        </w:rPr>
        <w:footnoteReference w:id="6"/>
      </w:r>
      <w:r w:rsidRPr="00592DA0">
        <w:t xml:space="preserve">, il faut dire du « Second Bill of </w:t>
      </w:r>
      <w:proofErr w:type="spellStart"/>
      <w:r w:rsidRPr="00592DA0">
        <w:t>Rights</w:t>
      </w:r>
      <w:proofErr w:type="spellEnd"/>
      <w:r w:rsidRPr="00592DA0">
        <w:t xml:space="preserve"> » qu’il ne contient que les miettes ayant échappé au balayage des grandes ambitions </w:t>
      </w:r>
      <w:r>
        <w:t>du</w:t>
      </w:r>
      <w:r w:rsidRPr="00592DA0">
        <w:t xml:space="preserve"> New Deal</w:t>
      </w:r>
      <w:r>
        <w:rPr>
          <w:rStyle w:val="Appelnotedebasdep"/>
          <w:rFonts w:ascii="Garamond" w:hAnsi="Garamond"/>
        </w:rPr>
        <w:footnoteReference w:id="7"/>
      </w:r>
      <w:r w:rsidRPr="00592DA0">
        <w:t xml:space="preserve">, et </w:t>
      </w:r>
      <w:r>
        <w:t>bien plutôt qu’une étape vers le</w:t>
      </w:r>
      <w:r w:rsidRPr="00592DA0">
        <w:t xml:space="preserve"> désenclavement du </w:t>
      </w:r>
      <w:proofErr w:type="spellStart"/>
      <w:r w:rsidRPr="00592DA0">
        <w:rPr>
          <w:i/>
        </w:rPr>
        <w:t>welfare</w:t>
      </w:r>
      <w:proofErr w:type="spellEnd"/>
      <w:r w:rsidRPr="00592DA0">
        <w:rPr>
          <w:i/>
        </w:rPr>
        <w:t xml:space="preserve"> </w:t>
      </w:r>
      <w:r w:rsidRPr="00592DA0">
        <w:t>de la structure de l’État-nation, il m</w:t>
      </w:r>
      <w:r>
        <w:t>ontre</w:t>
      </w:r>
      <w:r w:rsidRPr="00592DA0">
        <w:t xml:space="preserve"> l’échec américain à institutionnaliser des dispositifs à même de réaliser la justice sociale. Depuis lors, planification, redistribution, aspiration à l’égalité matérielle ont été abandonnées au profit d’une satisfaction de la seule exigence de suffisance, d’ailleurs elle-même limitée</w:t>
      </w:r>
      <w:r>
        <w:t>.</w:t>
      </w:r>
    </w:p>
    <w:p w14:paraId="20BEF828" w14:textId="77777777" w:rsidR="00922C9B" w:rsidRPr="00592DA0" w:rsidRDefault="00922C9B" w:rsidP="00922C9B">
      <w:pPr>
        <w:pStyle w:val="VDIIntertitre"/>
      </w:pPr>
      <w:r w:rsidRPr="00592DA0">
        <w:t>Les espoirs d’un « </w:t>
      </w:r>
      <w:proofErr w:type="spellStart"/>
      <w:r w:rsidRPr="00592DA0">
        <w:t>welfare</w:t>
      </w:r>
      <w:proofErr w:type="spellEnd"/>
      <w:r w:rsidRPr="00592DA0">
        <w:t xml:space="preserve"> world » : le NOEI</w:t>
      </w:r>
    </w:p>
    <w:p w14:paraId="5942E08F" w14:textId="77777777" w:rsidR="00922C9B" w:rsidRPr="00592DA0" w:rsidRDefault="00922C9B" w:rsidP="00922C9B">
      <w:pPr>
        <w:pStyle w:val="Corps"/>
      </w:pPr>
      <w:r>
        <w:t xml:space="preserve">Loin d’être des jalons en vue d’un </w:t>
      </w:r>
      <w:r w:rsidRPr="00592DA0">
        <w:t>« New Deal pour le monde »</w:t>
      </w:r>
      <w:r>
        <w:t xml:space="preserve">, </w:t>
      </w:r>
      <w:r w:rsidRPr="00592DA0">
        <w:t xml:space="preserve">la Déclaration de 1948 </w:t>
      </w:r>
      <w:r>
        <w:t>et</w:t>
      </w:r>
      <w:r w:rsidRPr="00592DA0">
        <w:t xml:space="preserve"> le discours de</w:t>
      </w:r>
      <w:r>
        <w:t> </w:t>
      </w:r>
      <w:r w:rsidRPr="00592DA0">
        <w:t>1944 soulignent à quel point</w:t>
      </w:r>
      <w:r>
        <w:t>, au mieux,</w:t>
      </w:r>
      <w:r w:rsidRPr="00592DA0">
        <w:t xml:space="preserve"> le </w:t>
      </w:r>
      <w:proofErr w:type="spellStart"/>
      <w:r w:rsidRPr="00592DA0">
        <w:rPr>
          <w:i/>
        </w:rPr>
        <w:t>welfare</w:t>
      </w:r>
      <w:proofErr w:type="spellEnd"/>
      <w:r w:rsidRPr="00592DA0">
        <w:t xml:space="preserve"> reste </w:t>
      </w:r>
      <w:r>
        <w:t>alors</w:t>
      </w:r>
      <w:r w:rsidRPr="00592DA0">
        <w:t xml:space="preserve"> strictement national. </w:t>
      </w:r>
      <w:r>
        <w:t>Ce n’est qu’avec</w:t>
      </w:r>
      <w:r w:rsidRPr="00592DA0">
        <w:t xml:space="preserve"> la décolonisation qu’advient le projet d’un </w:t>
      </w:r>
      <w:proofErr w:type="spellStart"/>
      <w:r w:rsidRPr="00592DA0">
        <w:rPr>
          <w:i/>
        </w:rPr>
        <w:t>welfare</w:t>
      </w:r>
      <w:proofErr w:type="spellEnd"/>
      <w:r w:rsidRPr="00592DA0">
        <w:t xml:space="preserve"> émancipé de son cadre, sinon étatique, du moins national et qu’illustre de manière privilégiée le Nouvel Ordre Économique International (NOEI)</w:t>
      </w:r>
      <w:r w:rsidRPr="00592DA0">
        <w:rPr>
          <w:rStyle w:val="Appelnotedebasdep"/>
          <w:rFonts w:ascii="Garamond" w:hAnsi="Garamond"/>
        </w:rPr>
        <w:footnoteReference w:id="8"/>
      </w:r>
      <w:r w:rsidRPr="00592DA0">
        <w:t xml:space="preserve">. </w:t>
      </w:r>
      <w:r>
        <w:t>Élevant</w:t>
      </w:r>
      <w:r w:rsidRPr="00592DA0">
        <w:t xml:space="preserve"> la « synthèse jacobine » à l’échelle du monde, la conception inédite portée par les acteurs de la décolonisation par le même mouvement qu’ils construisent des États émancipés </w:t>
      </w:r>
      <w:proofErr w:type="gramStart"/>
      <w:r w:rsidRPr="00592DA0">
        <w:t>des</w:t>
      </w:r>
      <w:proofErr w:type="gramEnd"/>
      <w:r w:rsidRPr="00592DA0">
        <w:t xml:space="preserve"> empires est </w:t>
      </w:r>
      <w:r>
        <w:t>comme</w:t>
      </w:r>
      <w:r w:rsidRPr="00592DA0">
        <w:t xml:space="preserve"> une alternative à la vision de la mondialisation portée par le </w:t>
      </w:r>
      <w:r w:rsidRPr="00592DA0">
        <w:lastRenderedPageBreak/>
        <w:t>néolibéralisme et de la justice mondiale corrélée aux droits humains</w:t>
      </w:r>
      <w:r>
        <w:t>,</w:t>
      </w:r>
      <w:r w:rsidRPr="00592DA0">
        <w:t xml:space="preserve"> et</w:t>
      </w:r>
      <w:r>
        <w:t xml:space="preserve"> le chapitre 4 </w:t>
      </w:r>
      <w:r w:rsidRPr="00592DA0">
        <w:t>rappel</w:t>
      </w:r>
      <w:r>
        <w:t>le</w:t>
      </w:r>
      <w:r w:rsidRPr="00592DA0">
        <w:t xml:space="preserve"> au souvenir cet épisode négligé de l’histoire rétrospective des vainqueurs</w:t>
      </w:r>
      <w:r>
        <w:t>.</w:t>
      </w:r>
    </w:p>
    <w:p w14:paraId="75ADB978" w14:textId="77777777" w:rsidR="00922C9B" w:rsidRPr="00592DA0" w:rsidRDefault="00922C9B" w:rsidP="00922C9B">
      <w:pPr>
        <w:pStyle w:val="Corps"/>
      </w:pPr>
      <w:r>
        <w:t>C</w:t>
      </w:r>
      <w:r w:rsidRPr="00592DA0">
        <w:t>ombinant, à partir de l’État</w:t>
      </w:r>
      <w:r>
        <w:t>,</w:t>
      </w:r>
      <w:r w:rsidRPr="00592DA0">
        <w:t xml:space="preserve"> mais selon une perspective mondiale, les exigences d’égalité et de suffisance</w:t>
      </w:r>
      <w:r>
        <w:t>, le NOEI s’oppose presque point par point à la</w:t>
      </w:r>
      <w:r w:rsidRPr="00592DA0">
        <w:t xml:space="preserve"> « révolution des droits humains ». Dans la teneur des principes qu’ils défendent d’abord : si l’on peut bien dire que tous deux sont des revendications relatives à la justice mondiale, au contraire de la seconde, le premier fait primer l’égalité matérielle sur la suffisance et exige la juste distribution plutôt que la seule satisfaction de besoins </w:t>
      </w:r>
      <w:r>
        <w:t xml:space="preserve">fondamentaux : </w:t>
      </w:r>
      <w:r w:rsidRPr="00592DA0">
        <w:t xml:space="preserve">avant la suffisance, les grands acteurs de la décolonisation </w:t>
      </w:r>
      <w:r>
        <w:t xml:space="preserve">font valoir </w:t>
      </w:r>
      <w:r w:rsidRPr="00592DA0">
        <w:t>l’exigence de redistribution et la nécessité de transformation économique, comme en témoignent, dès les luttes pour l’autonomie nationale, les discours de Nasser, de Nkrumah en Guinée, ou encore de Nyerere en Tanzanie</w:t>
      </w:r>
      <w:r>
        <w:rPr>
          <w:rStyle w:val="Appelnotedebasdep"/>
          <w:rFonts w:ascii="Garamond" w:hAnsi="Garamond"/>
        </w:rPr>
        <w:footnoteReference w:id="9"/>
      </w:r>
      <w:r w:rsidRPr="00592DA0">
        <w:t xml:space="preserve">. Dans les modalités de leur action ensuite : c’est en s’appuyant </w:t>
      </w:r>
      <w:r>
        <w:t xml:space="preserve">sur l’État </w:t>
      </w:r>
      <w:r w:rsidRPr="00592DA0">
        <w:t xml:space="preserve">et par le truchement d’une diplomatie coordonnée dont les acteurs sont les États-nations que le NOEI cherche à réaliser ses principes, quand le mouvement des droits humains coïncide la plupart du temps </w:t>
      </w:r>
      <w:r>
        <w:t xml:space="preserve">avec </w:t>
      </w:r>
      <w:r w:rsidRPr="00592DA0">
        <w:t xml:space="preserve">une minoration de l’État et s’appuie de manière privilégiée sur </w:t>
      </w:r>
      <w:r>
        <w:t>le</w:t>
      </w:r>
      <w:r w:rsidRPr="00592DA0">
        <w:t>s stratégies de « </w:t>
      </w:r>
      <w:proofErr w:type="spellStart"/>
      <w:r w:rsidRPr="00592DA0">
        <w:rPr>
          <w:i/>
          <w:iCs/>
        </w:rPr>
        <w:t>naming</w:t>
      </w:r>
      <w:proofErr w:type="spellEnd"/>
      <w:r w:rsidRPr="00592DA0">
        <w:rPr>
          <w:i/>
          <w:iCs/>
        </w:rPr>
        <w:t xml:space="preserve"> et </w:t>
      </w:r>
      <w:proofErr w:type="spellStart"/>
      <w:r w:rsidRPr="00592DA0">
        <w:rPr>
          <w:i/>
          <w:iCs/>
        </w:rPr>
        <w:t>shaming</w:t>
      </w:r>
      <w:proofErr w:type="spellEnd"/>
      <w:r w:rsidRPr="00592DA0">
        <w:t> » d</w:t>
      </w:r>
      <w:r>
        <w:t>’</w:t>
      </w:r>
      <w:r w:rsidRPr="00592DA0">
        <w:t>organisations non-gouvernementales</w:t>
      </w:r>
      <w:r w:rsidRPr="00592DA0">
        <w:rPr>
          <w:rStyle w:val="Appelnotedebasdep"/>
          <w:rFonts w:ascii="Garamond" w:hAnsi="Garamond"/>
        </w:rPr>
        <w:footnoteReference w:id="10"/>
      </w:r>
      <w:r w:rsidRPr="00592DA0">
        <w:t>.</w:t>
      </w:r>
    </w:p>
    <w:p w14:paraId="24B12389" w14:textId="3F805C37" w:rsidR="00922C9B" w:rsidRPr="00592DA0" w:rsidRDefault="00922C9B" w:rsidP="00922C9B">
      <w:pPr>
        <w:pStyle w:val="Corps"/>
      </w:pPr>
      <w:r>
        <w:t xml:space="preserve">Né </w:t>
      </w:r>
      <w:r w:rsidRPr="00592DA0">
        <w:t>difficilement dans le contexte d’un rapport de forces à l’évidence défavorable, porté par une étrange coalition dont la stratégie n’a pas toujours été efficace, ses revendications rencontrant en outre les positions ambivalentes</w:t>
      </w:r>
      <w:r>
        <w:t xml:space="preserve"> </w:t>
      </w:r>
      <w:r w:rsidRPr="00592DA0">
        <w:t xml:space="preserve">des pays du Nord, le NOEI et le rêve de </w:t>
      </w:r>
      <w:proofErr w:type="spellStart"/>
      <w:r w:rsidRPr="00592DA0">
        <w:rPr>
          <w:i/>
          <w:iCs/>
        </w:rPr>
        <w:t>welfare</w:t>
      </w:r>
      <w:proofErr w:type="spellEnd"/>
      <w:r w:rsidRPr="00592DA0">
        <w:rPr>
          <w:i/>
          <w:iCs/>
        </w:rPr>
        <w:t xml:space="preserve"> world </w:t>
      </w:r>
      <w:r w:rsidRPr="00592DA0">
        <w:t xml:space="preserve">dont il était porteur n’ont connu qu’une vie brève et une mort encore précipitée par la crise de la dette mondiale au début des années 1980. </w:t>
      </w:r>
      <w:r>
        <w:t>Le néolibéralisme t</w:t>
      </w:r>
      <w:r w:rsidRPr="00592DA0">
        <w:t>riomphe alors</w:t>
      </w:r>
      <w:r>
        <w:t xml:space="preserve"> </w:t>
      </w:r>
      <w:r w:rsidRPr="00592DA0">
        <w:t xml:space="preserve">qui </w:t>
      </w:r>
      <w:r>
        <w:t xml:space="preserve">œuvrait déjà à </w:t>
      </w:r>
      <w:r w:rsidRPr="00592DA0">
        <w:t>cette chute et dont les principes de mondialisation sont l’exact opposé</w:t>
      </w:r>
      <w:r>
        <w:t>. L’idéal d’égalité mis à terre, « p</w:t>
      </w:r>
      <w:r w:rsidRPr="00592DA0">
        <w:t>lace était faite pour l’idéal de suffisance qui subsistait seul »</w:t>
      </w:r>
      <w:r>
        <w:t xml:space="preserve"> (</w:t>
      </w:r>
      <w:r w:rsidRPr="00922C9B">
        <w:t>p. 118</w:t>
      </w:r>
      <w:r>
        <w:t>)</w:t>
      </w:r>
      <w:r w:rsidRPr="00592DA0">
        <w:t>.</w:t>
      </w:r>
    </w:p>
    <w:p w14:paraId="3AAD0AD3" w14:textId="77777777" w:rsidR="00922C9B" w:rsidRPr="00592DA0" w:rsidRDefault="00922C9B" w:rsidP="00922C9B">
      <w:pPr>
        <w:pStyle w:val="VDIIntertitre"/>
      </w:pPr>
      <w:r w:rsidRPr="00592DA0">
        <w:lastRenderedPageBreak/>
        <w:t>Le triomphe de l’idéal de subsistance</w:t>
      </w:r>
    </w:p>
    <w:p w14:paraId="1B850224" w14:textId="77777777" w:rsidR="00922C9B" w:rsidRPr="00592DA0" w:rsidRDefault="00922C9B" w:rsidP="00922C9B">
      <w:pPr>
        <w:pStyle w:val="Corps"/>
      </w:pPr>
      <w:r w:rsidRPr="00592DA0">
        <w:t xml:space="preserve">Dans cette histoire du triomphe de la suffisance sur l’égalité, la philosophie – ou, </w:t>
      </w:r>
      <w:r>
        <w:t>plutôt</w:t>
      </w:r>
      <w:r w:rsidRPr="00592DA0">
        <w:t>, une certaine philosophie politique</w:t>
      </w:r>
      <w:r>
        <w:t>, celle de la « </w:t>
      </w:r>
      <w:r>
        <w:rPr>
          <w:i/>
        </w:rPr>
        <w:t>global justice</w:t>
      </w:r>
      <w:r>
        <w:t> »</w:t>
      </w:r>
      <w:r w:rsidRPr="00592DA0">
        <w:t xml:space="preserve"> – a tenu, selon </w:t>
      </w:r>
      <w:proofErr w:type="spellStart"/>
      <w:r w:rsidRPr="00592DA0">
        <w:t>Moyn</w:t>
      </w:r>
      <w:proofErr w:type="spellEnd"/>
      <w:r w:rsidRPr="00592DA0">
        <w:t>, une triste part, que s’attache à mettre en lumière le chap</w:t>
      </w:r>
      <w:r>
        <w:t>itre</w:t>
      </w:r>
      <w:r w:rsidRPr="00592DA0">
        <w:t> 6</w:t>
      </w:r>
      <w:r>
        <w:t>, principalement à traver</w:t>
      </w:r>
      <w:r w:rsidRPr="00592DA0">
        <w:t xml:space="preserve">s </w:t>
      </w:r>
      <w:r>
        <w:t xml:space="preserve">les versions </w:t>
      </w:r>
      <w:r w:rsidRPr="00592DA0">
        <w:t>qu’en ont proposées Ch</w:t>
      </w:r>
      <w:r>
        <w:t>. </w:t>
      </w:r>
      <w:proofErr w:type="spellStart"/>
      <w:r w:rsidRPr="00592DA0">
        <w:t>Beitz</w:t>
      </w:r>
      <w:proofErr w:type="spellEnd"/>
      <w:r w:rsidRPr="00592DA0">
        <w:t xml:space="preserve"> et H</w:t>
      </w:r>
      <w:r>
        <w:t>. </w:t>
      </w:r>
      <w:proofErr w:type="spellStart"/>
      <w:r w:rsidRPr="00592DA0">
        <w:t>Shue</w:t>
      </w:r>
      <w:proofErr w:type="spellEnd"/>
      <w:r w:rsidRPr="00592DA0">
        <w:t xml:space="preserve">. </w:t>
      </w:r>
    </w:p>
    <w:p w14:paraId="58AFEF7A" w14:textId="68907E36" w:rsidR="00922C9B" w:rsidRPr="00592DA0" w:rsidRDefault="00922C9B" w:rsidP="00922C9B">
      <w:pPr>
        <w:pStyle w:val="Corps"/>
      </w:pPr>
      <w:r>
        <w:t>L</w:t>
      </w:r>
      <w:r w:rsidRPr="00592DA0">
        <w:t>e tournant « </w:t>
      </w:r>
      <w:r w:rsidRPr="00592DA0">
        <w:rPr>
          <w:i/>
          <w:iCs/>
        </w:rPr>
        <w:t>global</w:t>
      </w:r>
      <w:r w:rsidRPr="00592DA0">
        <w:t> » de la philosophie politique</w:t>
      </w:r>
      <w:r>
        <w:t xml:space="preserve"> s’opère par l’essai de </w:t>
      </w:r>
      <w:proofErr w:type="spellStart"/>
      <w:r>
        <w:t>Beitz</w:t>
      </w:r>
      <w:proofErr w:type="spellEnd"/>
      <w:r>
        <w:t xml:space="preserve"> de </w:t>
      </w:r>
      <w:r w:rsidRPr="00592DA0">
        <w:t xml:space="preserve">transposer à l’échelle mondiale les principes </w:t>
      </w:r>
      <w:r>
        <w:t xml:space="preserve">d’une justice distributive </w:t>
      </w:r>
      <w:r w:rsidRPr="00592DA0">
        <w:t>que la théorie rawlsienne de la justice élaborait pour l’État-nation. Or, de « Justice and International Relations »</w:t>
      </w:r>
      <w:r w:rsidRPr="00592DA0">
        <w:rPr>
          <w:rStyle w:val="Appelnotedebasdep"/>
          <w:rFonts w:ascii="Garamond" w:hAnsi="Garamond"/>
        </w:rPr>
        <w:footnoteReference w:id="11"/>
      </w:r>
      <w:r w:rsidRPr="00592DA0">
        <w:t xml:space="preserve"> à la publication de </w:t>
      </w:r>
      <w:proofErr w:type="spellStart"/>
      <w:r w:rsidRPr="00592DA0">
        <w:rPr>
          <w:i/>
          <w:iCs/>
        </w:rPr>
        <w:t>Political</w:t>
      </w:r>
      <w:proofErr w:type="spellEnd"/>
      <w:r w:rsidRPr="00592DA0">
        <w:rPr>
          <w:i/>
          <w:iCs/>
        </w:rPr>
        <w:t xml:space="preserve"> Theory and International Relations</w:t>
      </w:r>
      <w:r w:rsidRPr="00592DA0">
        <w:rPr>
          <w:rStyle w:val="Appelnotedebasdep"/>
          <w:rFonts w:ascii="Garamond" w:hAnsi="Garamond"/>
        </w:rPr>
        <w:footnoteReference w:id="12"/>
      </w:r>
      <w:r>
        <w:t xml:space="preserve">, l’inflexion de sa pensée manifeste aussi de manière éclatante, selon </w:t>
      </w:r>
      <w:proofErr w:type="spellStart"/>
      <w:r>
        <w:t>Moyn</w:t>
      </w:r>
      <w:proofErr w:type="spellEnd"/>
      <w:r>
        <w:t xml:space="preserve">, </w:t>
      </w:r>
      <w:r w:rsidRPr="00592DA0">
        <w:t xml:space="preserve">l’enterrement </w:t>
      </w:r>
      <w:r>
        <w:t xml:space="preserve">de </w:t>
      </w:r>
      <w:r w:rsidRPr="00592DA0">
        <w:t xml:space="preserve">l’exigence de justice distributive mondiale </w:t>
      </w:r>
      <w:r>
        <w:t xml:space="preserve">que porte le NOEI </w:t>
      </w:r>
      <w:r w:rsidRPr="00592DA0">
        <w:t>à la faveur exclusive de l</w:t>
      </w:r>
      <w:r>
        <w:t>a</w:t>
      </w:r>
      <w:r w:rsidRPr="00592DA0">
        <w:t xml:space="preserve"> subsistance</w:t>
      </w:r>
      <w:r>
        <w:t>.</w:t>
      </w:r>
      <w:r w:rsidRPr="00592DA0">
        <w:t xml:space="preserve"> </w:t>
      </w:r>
      <w:r>
        <w:t>L</w:t>
      </w:r>
      <w:r w:rsidRPr="00592DA0">
        <w:t>es deux textes réfèrent aux revendications du NOEI et à l’idée d’interdépendance mondiale à laquelle puise la revendication d’égalité</w:t>
      </w:r>
      <w:r>
        <w:rPr>
          <w:rStyle w:val="Appelnotedebasdep"/>
          <w:rFonts w:ascii="Garamond" w:hAnsi="Garamond"/>
        </w:rPr>
        <w:footnoteReference w:id="13"/>
      </w:r>
      <w:r>
        <w:t>, mais de</w:t>
      </w:r>
      <w:r w:rsidRPr="00592DA0">
        <w:t xml:space="preserve"> 1975 à 1979, c’est la critique </w:t>
      </w:r>
      <w:r>
        <w:t xml:space="preserve">de </w:t>
      </w:r>
      <w:r w:rsidRPr="00592DA0">
        <w:t>la « valeur morale des États »</w:t>
      </w:r>
      <w:r>
        <w:t xml:space="preserve"> </w:t>
      </w:r>
      <w:r>
        <w:t>(</w:t>
      </w:r>
      <w:r w:rsidRPr="00922C9B">
        <w:t>« </w:t>
      </w:r>
      <w:proofErr w:type="spellStart"/>
      <w:r w:rsidRPr="0036705E">
        <w:rPr>
          <w:i/>
        </w:rPr>
        <w:t>Morality</w:t>
      </w:r>
      <w:proofErr w:type="spellEnd"/>
      <w:r w:rsidRPr="0036705E">
        <w:rPr>
          <w:i/>
        </w:rPr>
        <w:t xml:space="preserve"> of the states</w:t>
      </w:r>
      <w:r w:rsidRPr="00922C9B">
        <w:t> »</w:t>
      </w:r>
      <w:r>
        <w:t xml:space="preserve">) </w:t>
      </w:r>
      <w:r>
        <w:t>et</w:t>
      </w:r>
      <w:r w:rsidRPr="00592DA0">
        <w:t xml:space="preserve"> du bien-fondé des frontières nationales</w:t>
      </w:r>
      <w:r>
        <w:t xml:space="preserve"> </w:t>
      </w:r>
      <w:r w:rsidRPr="00592DA0">
        <w:t>qui l’emporte</w:t>
      </w:r>
      <w:r>
        <w:t xml:space="preserve"> chez </w:t>
      </w:r>
      <w:proofErr w:type="spellStart"/>
      <w:r>
        <w:t>Beitz</w:t>
      </w:r>
      <w:proofErr w:type="spellEnd"/>
      <w:r w:rsidRPr="00592DA0">
        <w:t xml:space="preserve">, de telle sorte que si </w:t>
      </w:r>
      <w:r>
        <w:t>s</w:t>
      </w:r>
      <w:r w:rsidRPr="00592DA0">
        <w:t>es premi</w:t>
      </w:r>
      <w:r>
        <w:t xml:space="preserve">ers travaux </w:t>
      </w:r>
      <w:r w:rsidRPr="00592DA0">
        <w:t xml:space="preserve">pouvaient apparaître comme une tentative de fondation des revendications du NOEI, </w:t>
      </w:r>
      <w:r>
        <w:t>ils</w:t>
      </w:r>
      <w:r w:rsidRPr="00592DA0">
        <w:t xml:space="preserve"> </w:t>
      </w:r>
      <w:r>
        <w:t>sont</w:t>
      </w:r>
      <w:r w:rsidRPr="00592DA0">
        <w:t xml:space="preserve"> désormais comme une alternative à celles-ci : abandonnant l’</w:t>
      </w:r>
      <w:r>
        <w:t>exigence d’égalité</w:t>
      </w:r>
      <w:r w:rsidRPr="00592DA0">
        <w:t xml:space="preserve">, </w:t>
      </w:r>
      <w:proofErr w:type="spellStart"/>
      <w:r w:rsidRPr="00592DA0">
        <w:t>Beitz</w:t>
      </w:r>
      <w:proofErr w:type="spellEnd"/>
      <w:r w:rsidRPr="00592DA0">
        <w:t xml:space="preserve"> </w:t>
      </w:r>
      <w:r>
        <w:t>en vient à réduire</w:t>
      </w:r>
      <w:r w:rsidRPr="00592DA0">
        <w:t xml:space="preserve"> la « </w:t>
      </w:r>
      <w:r w:rsidRPr="00592DA0">
        <w:rPr>
          <w:i/>
          <w:iCs/>
        </w:rPr>
        <w:t>global justice</w:t>
      </w:r>
      <w:r w:rsidRPr="00592DA0">
        <w:t> » à un ensemble de principes n’appelant qu’à un</w:t>
      </w:r>
      <w:r>
        <w:t xml:space="preserve"> approvisionnement</w:t>
      </w:r>
      <w:r w:rsidRPr="00592DA0">
        <w:t xml:space="preserve"> </w:t>
      </w:r>
      <w:r>
        <w:t>minimal suffisant pour chacun</w:t>
      </w:r>
      <w:r w:rsidRPr="00592DA0">
        <w:t xml:space="preserve">. C’est toutefois avec </w:t>
      </w:r>
      <w:r>
        <w:t xml:space="preserve">l’élaboration, par </w:t>
      </w:r>
      <w:proofErr w:type="spellStart"/>
      <w:r>
        <w:t>Shue</w:t>
      </w:r>
      <w:proofErr w:type="spellEnd"/>
      <w:r w:rsidRPr="00592DA0">
        <w:rPr>
          <w:rStyle w:val="Appelnotedebasdep"/>
          <w:rFonts w:ascii="Garamond" w:hAnsi="Garamond"/>
        </w:rPr>
        <w:footnoteReference w:id="14"/>
      </w:r>
      <w:r>
        <w:t xml:space="preserve">, d’une approche fondée sur les droits </w:t>
      </w:r>
      <w:r w:rsidRPr="00592DA0">
        <w:t xml:space="preserve">que </w:t>
      </w:r>
      <w:r>
        <w:t xml:space="preserve">la </w:t>
      </w:r>
      <w:r>
        <w:rPr>
          <w:i/>
          <w:iCs/>
        </w:rPr>
        <w:t>global justice</w:t>
      </w:r>
      <w:r w:rsidRPr="00592DA0">
        <w:t xml:space="preserve"> tourne définitivement le dos à toute option égalitaire</w:t>
      </w:r>
      <w:r>
        <w:t xml:space="preserve">. </w:t>
      </w:r>
      <w:r w:rsidRPr="00592DA0">
        <w:t>Partant d</w:t>
      </w:r>
      <w:r>
        <w:t xml:space="preserve">e </w:t>
      </w:r>
      <w:r w:rsidRPr="00592DA0">
        <w:t xml:space="preserve">la détermination des droits et des devoirs et du minimum requis d’un point de vue moral, la pensée de </w:t>
      </w:r>
      <w:proofErr w:type="spellStart"/>
      <w:r w:rsidRPr="00592DA0">
        <w:t>Shue</w:t>
      </w:r>
      <w:proofErr w:type="spellEnd"/>
      <w:r w:rsidRPr="00592DA0">
        <w:t xml:space="preserve"> franchit le pas décisif par l’inclusion qu’elle propose des droits de subsistance aux droits fondamentaux</w:t>
      </w:r>
      <w:r>
        <w:t>. A</w:t>
      </w:r>
      <w:r w:rsidRPr="00592DA0">
        <w:t xml:space="preserve">lors, les droits sociaux eux-mêmes ne sont plus des droits liés </w:t>
      </w:r>
      <w:r>
        <w:t>aux</w:t>
      </w:r>
      <w:r w:rsidRPr="00592DA0">
        <w:t xml:space="preserve"> </w:t>
      </w:r>
      <w:proofErr w:type="spellStart"/>
      <w:r w:rsidRPr="00592DA0">
        <w:rPr>
          <w:i/>
          <w:iCs/>
        </w:rPr>
        <w:t>welfare</w:t>
      </w:r>
      <w:proofErr w:type="spellEnd"/>
      <w:r w:rsidRPr="00592DA0">
        <w:rPr>
          <w:i/>
          <w:iCs/>
        </w:rPr>
        <w:t xml:space="preserve"> states</w:t>
      </w:r>
      <w:r w:rsidRPr="00592DA0">
        <w:t xml:space="preserve"> nationaux, corrélés à l’idée de justice distributive, mais ce qui doit simplement justifier le secours international face à la plus grande misère.</w:t>
      </w:r>
    </w:p>
    <w:p w14:paraId="7082F156" w14:textId="77777777" w:rsidR="00922C9B" w:rsidRPr="00592DA0" w:rsidRDefault="00922C9B" w:rsidP="00922C9B">
      <w:pPr>
        <w:pStyle w:val="Corps"/>
      </w:pPr>
      <w:r>
        <w:lastRenderedPageBreak/>
        <w:t xml:space="preserve">Généralement, la philosophie de la </w:t>
      </w:r>
      <w:r>
        <w:rPr>
          <w:i/>
          <w:iCs/>
        </w:rPr>
        <w:t xml:space="preserve">global justice </w:t>
      </w:r>
      <w:r>
        <w:t xml:space="preserve">accomplit </w:t>
      </w:r>
      <w:r w:rsidRPr="00592DA0">
        <w:t xml:space="preserve">une </w:t>
      </w:r>
      <w:r w:rsidRPr="00592DA0">
        <w:rPr>
          <w:i/>
          <w:iCs/>
        </w:rPr>
        <w:t>individualisation</w:t>
      </w:r>
      <w:r w:rsidRPr="00592DA0">
        <w:t xml:space="preserve"> de la justice sociale</w:t>
      </w:r>
      <w:r>
        <w:t>, et sans qu’on puisse faire d’elle u</w:t>
      </w:r>
      <w:r w:rsidRPr="00592DA0">
        <w:t>ne « cause néolibérale »</w:t>
      </w:r>
      <w:r>
        <w:t xml:space="preserve">, occasion est </w:t>
      </w:r>
      <w:r w:rsidRPr="00592DA0">
        <w:t>ici donnée d’interroger les rapports de la philosophie à son temps</w:t>
      </w:r>
      <w:r>
        <w:t>, qui semblent pris dans une t</w:t>
      </w:r>
      <w:r w:rsidRPr="00592DA0">
        <w:t>riste alternative.</w:t>
      </w:r>
      <w:r>
        <w:t xml:space="preserve"> D’un </w:t>
      </w:r>
      <w:r w:rsidRPr="00592DA0">
        <w:t xml:space="preserve">côté, </w:t>
      </w:r>
      <w:r>
        <w:t>avec</w:t>
      </w:r>
      <w:r w:rsidRPr="00592DA0">
        <w:t xml:space="preserve"> Rawls et </w:t>
      </w:r>
      <w:r>
        <w:t>le</w:t>
      </w:r>
      <w:r w:rsidRPr="00592DA0">
        <w:t xml:space="preserve"> “premier” </w:t>
      </w:r>
      <w:proofErr w:type="spellStart"/>
      <w:r w:rsidRPr="00592DA0">
        <w:t>Beitz</w:t>
      </w:r>
      <w:proofErr w:type="spellEnd"/>
      <w:r w:rsidRPr="00592DA0">
        <w:t xml:space="preserve">, à l’instar de la chouette de Minerve hégélienne, </w:t>
      </w:r>
      <w:r>
        <w:t xml:space="preserve">la philosophie </w:t>
      </w:r>
      <w:r w:rsidRPr="00592DA0">
        <w:t>semble ne faire qu’</w:t>
      </w:r>
      <w:r>
        <w:t xml:space="preserve">énoncer </w:t>
      </w:r>
      <w:r w:rsidRPr="00592DA0">
        <w:t>le principe d’un monde sur le point de disparaître</w:t>
      </w:r>
      <w:r>
        <w:t xml:space="preserve"> et n’être que le lieu d’enregistrement de </w:t>
      </w:r>
      <w:r w:rsidRPr="00592DA0">
        <w:t xml:space="preserve">l’ascension et </w:t>
      </w:r>
      <w:r>
        <w:t xml:space="preserve">du </w:t>
      </w:r>
      <w:r w:rsidRPr="00592DA0">
        <w:t xml:space="preserve">déclin </w:t>
      </w:r>
      <w:r>
        <w:t>de l’exigence de justice distributive mondiale,</w:t>
      </w:r>
      <w:r w:rsidRPr="00592DA0">
        <w:t xml:space="preserve"> désormais relégable au rang de simple utopie. D’un autre côté, </w:t>
      </w:r>
      <w:r>
        <w:t>dans le sillage d’une inflexion imprimée p</w:t>
      </w:r>
      <w:r w:rsidRPr="00592DA0">
        <w:t xml:space="preserve">ar </w:t>
      </w:r>
      <w:proofErr w:type="spellStart"/>
      <w:r w:rsidRPr="00592DA0">
        <w:t>Beitz</w:t>
      </w:r>
      <w:proofErr w:type="spellEnd"/>
      <w:r w:rsidRPr="00592DA0">
        <w:t xml:space="preserve"> lui-même, rognant sur les </w:t>
      </w:r>
      <w:r>
        <w:t>exigences égalitaires</w:t>
      </w:r>
      <w:r w:rsidRPr="00592DA0">
        <w:t xml:space="preserve">, les auteurs de la </w:t>
      </w:r>
      <w:r w:rsidRPr="00C35958">
        <w:rPr>
          <w:i/>
          <w:iCs/>
        </w:rPr>
        <w:t>global</w:t>
      </w:r>
      <w:r w:rsidRPr="00592DA0">
        <w:rPr>
          <w:i/>
          <w:iCs/>
        </w:rPr>
        <w:t xml:space="preserve"> justice</w:t>
      </w:r>
      <w:r w:rsidRPr="00592DA0">
        <w:t xml:space="preserve"> ont fourni au mouvement des droits humains et au néolibéralisme l’éthique qui leur correspondait : une « éthique de la subsistance »</w:t>
      </w:r>
      <w:r>
        <w:t>, éthique palliative</w:t>
      </w:r>
      <w:r w:rsidRPr="00592DA0">
        <w:t xml:space="preserve"> pour un monde grevé </w:t>
      </w:r>
      <w:r>
        <w:t>d’</w:t>
      </w:r>
      <w:r w:rsidRPr="00592DA0">
        <w:t xml:space="preserve">inégalités. </w:t>
      </w:r>
      <w:r>
        <w:t>Pratiquement,</w:t>
      </w:r>
      <w:r w:rsidRPr="00592DA0">
        <w:t xml:space="preserve"> </w:t>
      </w:r>
      <w:r>
        <w:t>seuls demeurent</w:t>
      </w:r>
      <w:r w:rsidRPr="00592DA0">
        <w:t xml:space="preserve"> l</w:t>
      </w:r>
      <w:r>
        <w:t>’e</w:t>
      </w:r>
      <w:r w:rsidRPr="00592DA0">
        <w:t>xigence d’une action en faveur de l’approvisionnement suffisant et la défense des droits fondamentaux qui l</w:t>
      </w:r>
      <w:r>
        <w:t>a</w:t>
      </w:r>
      <w:r w:rsidRPr="00592DA0">
        <w:t xml:space="preserve"> </w:t>
      </w:r>
      <w:r>
        <w:t>justifient</w:t>
      </w:r>
      <w:r w:rsidRPr="00592DA0">
        <w:t>.</w:t>
      </w:r>
    </w:p>
    <w:p w14:paraId="6A715E29" w14:textId="77777777" w:rsidR="00922C9B" w:rsidRPr="00592DA0" w:rsidRDefault="00922C9B" w:rsidP="00922C9B">
      <w:pPr>
        <w:pStyle w:val="VDIIntertitre"/>
      </w:pPr>
      <w:r w:rsidRPr="00592DA0">
        <w:t>Contre les inégalités du néolibéralisme, la nécessité d’une alternative aux droits humains</w:t>
      </w:r>
    </w:p>
    <w:p w14:paraId="1A3636B8" w14:textId="77777777" w:rsidR="00922C9B" w:rsidRPr="00592DA0" w:rsidRDefault="00922C9B" w:rsidP="00922C9B">
      <w:pPr>
        <w:pStyle w:val="Corps"/>
      </w:pPr>
      <w:r w:rsidRPr="00592DA0">
        <w:t>De l’existence à la possibilité on peut conclure, mais non, en toute rigueur, déduire de lien nécessaire et, partant du constat de la cohabitation contemporaine des droits humains et du néolibéralisme, le dernier chap</w:t>
      </w:r>
      <w:r>
        <w:t>itre</w:t>
      </w:r>
      <w:r w:rsidRPr="00592DA0">
        <w:t xml:space="preserve"> montre que la substance propre des droits humains </w:t>
      </w:r>
      <w:r w:rsidRPr="00592DA0">
        <w:rPr>
          <w:i/>
        </w:rPr>
        <w:t>n’interdisait pas</w:t>
      </w:r>
      <w:r w:rsidRPr="00592DA0">
        <w:t xml:space="preserve"> l’avènement du néolibéralisme et l’imposition de l’« intégrisme de marché », mais elle ne le</w:t>
      </w:r>
      <w:r>
        <w:t>s</w:t>
      </w:r>
      <w:r w:rsidRPr="00592DA0">
        <w:t xml:space="preserve"> </w:t>
      </w:r>
      <w:r w:rsidRPr="00592DA0">
        <w:rPr>
          <w:i/>
        </w:rPr>
        <w:t xml:space="preserve">commandait pas </w:t>
      </w:r>
      <w:r w:rsidRPr="00592DA0">
        <w:t xml:space="preserve">non plus : si aucune contradiction intrinsèque n’a rendu </w:t>
      </w:r>
      <w:r w:rsidRPr="00592DA0">
        <w:rPr>
          <w:i/>
        </w:rPr>
        <w:t>impossible</w:t>
      </w:r>
      <w:r w:rsidRPr="00592DA0">
        <w:t xml:space="preserve"> le compagnonnage des droits humains et du néolibéralisme, ce</w:t>
      </w:r>
      <w:r>
        <w:t>tte</w:t>
      </w:r>
      <w:r w:rsidRPr="00592DA0">
        <w:t xml:space="preserve"> liaison </w:t>
      </w:r>
      <w:r>
        <w:t>n’</w:t>
      </w:r>
      <w:r w:rsidRPr="00592DA0">
        <w:t>était</w:t>
      </w:r>
      <w:r>
        <w:t xml:space="preserve"> pas pour autant</w:t>
      </w:r>
      <w:r w:rsidRPr="00592DA0">
        <w:t xml:space="preserve"> </w:t>
      </w:r>
      <w:r w:rsidRPr="00592DA0">
        <w:rPr>
          <w:i/>
        </w:rPr>
        <w:t>nécessitée</w:t>
      </w:r>
      <w:r w:rsidRPr="00592DA0">
        <w:t>.</w:t>
      </w:r>
    </w:p>
    <w:p w14:paraId="2CDDF2EF" w14:textId="77777777" w:rsidR="00922C9B" w:rsidRPr="00592DA0" w:rsidRDefault="00922C9B" w:rsidP="00922C9B">
      <w:pPr>
        <w:pStyle w:val="Corps"/>
      </w:pPr>
      <w:r>
        <w:t xml:space="preserve">Le cas chilien d’une tragique compatibilité du néolibéralisme avec les violations des droits humains doit être tenu pour singulier, mais un examen plus large de l’histoire des rapports de la montée des droits humains et du néolibéralisme conduit aussi à écarter les </w:t>
      </w:r>
      <w:r w:rsidRPr="00592DA0">
        <w:t xml:space="preserve">thèses « conspirationnistes » qui font des </w:t>
      </w:r>
      <w:r>
        <w:t>premiers</w:t>
      </w:r>
      <w:r w:rsidRPr="00592DA0">
        <w:t xml:space="preserve"> les complices du </w:t>
      </w:r>
      <w:r>
        <w:t>second</w:t>
      </w:r>
      <w:r w:rsidRPr="00592DA0">
        <w:t xml:space="preserve">, notamment en ce qu’ils </w:t>
      </w:r>
      <w:proofErr w:type="spellStart"/>
      <w:r w:rsidRPr="00592DA0">
        <w:t>invisibiliseraient</w:t>
      </w:r>
      <w:proofErr w:type="spellEnd"/>
      <w:r w:rsidRPr="00592DA0">
        <w:t xml:space="preserve"> les inégalités sociales et leurs causes structurelles</w:t>
      </w:r>
      <w:r>
        <w:t>. Pour autant, il faut constater l’impuissance des droits humains f</w:t>
      </w:r>
      <w:r w:rsidRPr="00592DA0">
        <w:t>ace à la montée du néolibéralisme</w:t>
      </w:r>
      <w:r>
        <w:t xml:space="preserve"> et ses effets, et </w:t>
      </w:r>
      <w:proofErr w:type="spellStart"/>
      <w:r>
        <w:t>Moyn</w:t>
      </w:r>
      <w:proofErr w:type="spellEnd"/>
      <w:r>
        <w:t xml:space="preserve"> souligne que</w:t>
      </w:r>
      <w:r w:rsidRPr="00592DA0">
        <w:t xml:space="preserve"> cette impuissance n’est pas incidente</w:t>
      </w:r>
      <w:r>
        <w:t>, mais</w:t>
      </w:r>
      <w:r w:rsidRPr="00592DA0">
        <w:t xml:space="preserve"> </w:t>
      </w:r>
      <w:r>
        <w:t xml:space="preserve">renvoie </w:t>
      </w:r>
      <w:r w:rsidRPr="00592DA0">
        <w:t>à l</w:t>
      </w:r>
      <w:r>
        <w:t>eur</w:t>
      </w:r>
      <w:r w:rsidRPr="00592DA0">
        <w:t xml:space="preserve"> </w:t>
      </w:r>
      <w:r>
        <w:t>teneur même</w:t>
      </w:r>
      <w:r w:rsidRPr="00592DA0">
        <w:t xml:space="preserve"> : c’est parce que l’aspiration égalitaire </w:t>
      </w:r>
      <w:r>
        <w:t>des</w:t>
      </w:r>
      <w:r w:rsidRPr="00592DA0">
        <w:t xml:space="preserve"> droits humains est tout entière aspiration à l’égalité de statut abstraction faite de </w:t>
      </w:r>
      <w:r w:rsidRPr="00592DA0">
        <w:lastRenderedPageBreak/>
        <w:t xml:space="preserve">l’égalité matérielle qu’ils </w:t>
      </w:r>
      <w:r>
        <w:t xml:space="preserve">sont un obstacle si peu efficace </w:t>
      </w:r>
      <w:r w:rsidRPr="00592DA0">
        <w:t>au creusement des égalités matérielles consubstantiel au néolibéralisme</w:t>
      </w:r>
      <w:r>
        <w:t>, dont ils sont d’ailleurs des combattants peu déterminés</w:t>
      </w:r>
      <w:r w:rsidRPr="00592DA0">
        <w:t>.</w:t>
      </w:r>
      <w:r>
        <w:t xml:space="preserve"> Par un mouvement encore accentué par</w:t>
      </w:r>
      <w:r w:rsidRPr="00592DA0">
        <w:t xml:space="preserve"> la modification de la notion de droit qu’emporte le « </w:t>
      </w:r>
      <w:proofErr w:type="spellStart"/>
      <w:r w:rsidRPr="00592DA0">
        <w:rPr>
          <w:i/>
          <w:iCs/>
        </w:rPr>
        <w:t>judicial</w:t>
      </w:r>
      <w:proofErr w:type="spellEnd"/>
      <w:r w:rsidRPr="00592DA0">
        <w:rPr>
          <w:i/>
          <w:iCs/>
        </w:rPr>
        <w:t xml:space="preserve"> </w:t>
      </w:r>
      <w:proofErr w:type="spellStart"/>
      <w:r w:rsidRPr="00592DA0">
        <w:rPr>
          <w:i/>
          <w:iCs/>
        </w:rPr>
        <w:t>turn</w:t>
      </w:r>
      <w:proofErr w:type="spellEnd"/>
      <w:r w:rsidRPr="00592DA0">
        <w:t xml:space="preserve"> » dans le même temps que les droits sociaux </w:t>
      </w:r>
      <w:r>
        <w:t>sont</w:t>
      </w:r>
      <w:r w:rsidRPr="00592DA0">
        <w:t xml:space="preserve"> déconnectés du </w:t>
      </w:r>
      <w:proofErr w:type="spellStart"/>
      <w:r w:rsidRPr="00592DA0">
        <w:rPr>
          <w:i/>
          <w:iCs/>
        </w:rPr>
        <w:t>welfare</w:t>
      </w:r>
      <w:proofErr w:type="spellEnd"/>
      <w:r w:rsidRPr="00592DA0">
        <w:rPr>
          <w:i/>
          <w:iCs/>
        </w:rPr>
        <w:t xml:space="preserve"> state</w:t>
      </w:r>
      <w:r w:rsidRPr="00592DA0">
        <w:t>,</w:t>
      </w:r>
      <w:r>
        <w:t xml:space="preserve"> les droits humains servent désormais exclusivement d’appui aux luttes </w:t>
      </w:r>
      <w:r w:rsidRPr="00592DA0">
        <w:t xml:space="preserve">contre les discriminations </w:t>
      </w:r>
      <w:r>
        <w:t xml:space="preserve">et, délaissant les inégalités sociales et économiques, </w:t>
      </w:r>
      <w:r w:rsidRPr="00592DA0">
        <w:t xml:space="preserve">adaptés </w:t>
      </w:r>
      <w:r>
        <w:t>au « nouvel ordre mondial »</w:t>
      </w:r>
      <w:r w:rsidRPr="00592DA0">
        <w:t xml:space="preserve">, </w:t>
      </w:r>
      <w:r>
        <w:t>ils visent à</w:t>
      </w:r>
      <w:r w:rsidRPr="00592DA0">
        <w:t xml:space="preserve"> « humaniser » le monde plutôt qu’à le renverser</w:t>
      </w:r>
      <w:r>
        <w:t xml:space="preserve">, conformément à la </w:t>
      </w:r>
      <w:r w:rsidRPr="00592DA0">
        <w:t xml:space="preserve">transformation de la cause </w:t>
      </w:r>
      <w:r w:rsidRPr="00592DA0">
        <w:rPr>
          <w:i/>
        </w:rPr>
        <w:t>politique</w:t>
      </w:r>
      <w:r w:rsidRPr="00592DA0">
        <w:t xml:space="preserve"> de la justice sociale en une cause </w:t>
      </w:r>
      <w:r w:rsidRPr="00592DA0">
        <w:rPr>
          <w:i/>
        </w:rPr>
        <w:t xml:space="preserve">morale </w:t>
      </w:r>
      <w:r w:rsidRPr="00592DA0">
        <w:t xml:space="preserve">et </w:t>
      </w:r>
      <w:r w:rsidRPr="00653C49">
        <w:rPr>
          <w:i/>
          <w:iCs/>
        </w:rPr>
        <w:t>individuelle</w:t>
      </w:r>
      <w:r w:rsidRPr="00592DA0">
        <w:t>.</w:t>
      </w:r>
    </w:p>
    <w:p w14:paraId="59BD763E" w14:textId="6A3F1EAD" w:rsidR="00922C9B" w:rsidRPr="00592DA0" w:rsidRDefault="00922C9B" w:rsidP="00922C9B">
      <w:pPr>
        <w:pStyle w:val="Corps"/>
      </w:pPr>
      <w:r w:rsidRPr="00592DA0">
        <w:t xml:space="preserve">Dans leur cohabitation avec le néolibéralisme, </w:t>
      </w:r>
      <w:r>
        <w:t>l</w:t>
      </w:r>
      <w:r w:rsidRPr="00592DA0">
        <w:t xml:space="preserve">es droits humains dessinent en dernière instance l’utopie d’un monde </w:t>
      </w:r>
      <w:r>
        <w:t xml:space="preserve">aux richesses </w:t>
      </w:r>
      <w:r>
        <w:rPr>
          <w:i/>
          <w:iCs/>
        </w:rPr>
        <w:t xml:space="preserve">et </w:t>
      </w:r>
      <w:r>
        <w:t xml:space="preserve">aux </w:t>
      </w:r>
      <w:r w:rsidRPr="00592DA0">
        <w:t>inégalités de richesse</w:t>
      </w:r>
      <w:r>
        <w:t xml:space="preserve"> croissantes</w:t>
      </w:r>
      <w:r w:rsidRPr="00592DA0">
        <w:t>, d’un monde où l’on remédie à l’indigence et aux seules inégalités statutaires plutôt qu’</w:t>
      </w:r>
      <w:r>
        <w:t>à l’éradication des</w:t>
      </w:r>
      <w:r w:rsidRPr="00592DA0">
        <w:t xml:space="preserve"> inégalités matérielles : l’utopie d’un « monde de Crésus » qui, pourvoyeur et protecteur, préviendrait à la fois la misère, la répression et les discriminations, mais se satisferait d</w:t>
      </w:r>
      <w:r>
        <w:t>’i</w:t>
      </w:r>
      <w:r w:rsidRPr="00592DA0">
        <w:t xml:space="preserve">négalités </w:t>
      </w:r>
      <w:r>
        <w:t>croissantes. L</w:t>
      </w:r>
      <w:r w:rsidRPr="00592DA0">
        <w:t xml:space="preserve">a question est </w:t>
      </w:r>
      <w:r>
        <w:t xml:space="preserve">alors </w:t>
      </w:r>
      <w:r w:rsidRPr="00592DA0">
        <w:t>de savoir si une telle utopie est à la hauteur de nos idéaux de justice</w:t>
      </w:r>
      <w:r>
        <w:t xml:space="preserve"> et</w:t>
      </w:r>
      <w:r w:rsidRPr="00592DA0">
        <w:t xml:space="preserve"> si la concomitance du triomphe des droits humains et du déclin du socialisme est historiquement enregistrable, face à l’impuissance des </w:t>
      </w:r>
      <w:r>
        <w:t>premiers</w:t>
      </w:r>
      <w:r w:rsidRPr="00592DA0">
        <w:t xml:space="preserve"> en regard d</w:t>
      </w:r>
      <w:r>
        <w:t>es injustices néolibérales</w:t>
      </w:r>
      <w:r w:rsidRPr="00592DA0">
        <w:t xml:space="preserve">, l’heure est venue, affirme </w:t>
      </w:r>
      <w:proofErr w:type="spellStart"/>
      <w:r w:rsidRPr="00592DA0">
        <w:t>Moyn</w:t>
      </w:r>
      <w:proofErr w:type="spellEnd"/>
      <w:r w:rsidRPr="00592DA0">
        <w:t>, de « réapprendre le grand clivage entre socialisme et barbarie »</w:t>
      </w:r>
      <w:r>
        <w:t xml:space="preserve"> (</w:t>
      </w:r>
      <w:r w:rsidRPr="00922C9B">
        <w:t>p. 220</w:t>
      </w:r>
      <w:r>
        <w:t>)</w:t>
      </w:r>
      <w:r w:rsidRPr="00592DA0">
        <w:t xml:space="preserve">. L’enjeu, ici, n’est pas seulement d’ordre éthique, </w:t>
      </w:r>
      <w:r>
        <w:t>mais</w:t>
      </w:r>
      <w:r w:rsidRPr="00592DA0">
        <w:t xml:space="preserve"> </w:t>
      </w:r>
      <w:r>
        <w:t>aussi</w:t>
      </w:r>
      <w:r w:rsidRPr="00592DA0">
        <w:t xml:space="preserve"> pragmatique tant il est vrai </w:t>
      </w:r>
      <w:r w:rsidRPr="00B8090D">
        <w:t>que « le monde de Crésus » auquel ressemble toujours plus notre contemporanéité « court à sa perte et à sa destruction », secoué qu’il est par des crises politiques et économiques qui se multiplient.</w:t>
      </w:r>
    </w:p>
    <w:p w14:paraId="546E03EF" w14:textId="77777777" w:rsidR="00922C9B" w:rsidRPr="00D718E5" w:rsidRDefault="00922C9B" w:rsidP="00922C9B">
      <w:pPr>
        <w:pStyle w:val="Titre2"/>
        <w:jc w:val="center"/>
        <w:rPr>
          <w:b/>
          <w:i/>
          <w:iCs/>
        </w:rPr>
      </w:pPr>
      <w:r w:rsidRPr="00D718E5">
        <w:t>*</w:t>
      </w:r>
    </w:p>
    <w:p w14:paraId="1B99D8BE" w14:textId="77777777" w:rsidR="00922C9B" w:rsidRPr="00592DA0" w:rsidRDefault="00922C9B" w:rsidP="00922C9B">
      <w:pPr>
        <w:pStyle w:val="Corps"/>
      </w:pPr>
      <w:r w:rsidRPr="00592DA0">
        <w:t xml:space="preserve">La position ici tenue n’est, au fond, pas nouvelle qui </w:t>
      </w:r>
      <w:r>
        <w:t>souligne</w:t>
      </w:r>
      <w:r w:rsidRPr="00592DA0">
        <w:t xml:space="preserve"> l’impuissance constitutive des droits humains à être des armes pour la justice sociale et contre les inégalités matérielles, </w:t>
      </w:r>
      <w:r>
        <w:t>parce qu’</w:t>
      </w:r>
      <w:r w:rsidRPr="00592DA0">
        <w:t>ils sont dépourvus d’un contenu qui pourrait s’opposer à ces dernières</w:t>
      </w:r>
      <w:r w:rsidRPr="00592DA0">
        <w:rPr>
          <w:rStyle w:val="Appelnotedebasdep"/>
          <w:rFonts w:ascii="Garamond" w:hAnsi="Garamond"/>
        </w:rPr>
        <w:footnoteReference w:id="15"/>
      </w:r>
      <w:r w:rsidRPr="00592DA0">
        <w:t xml:space="preserve">. La singularité de l’ouvrage tient moins à ce constat qu’à la manière dont il est établi et qui fait l’originalité de la </w:t>
      </w:r>
      <w:r w:rsidRPr="00592DA0">
        <w:rPr>
          <w:i/>
          <w:iCs/>
        </w:rPr>
        <w:t xml:space="preserve">thèse </w:t>
      </w:r>
      <w:r w:rsidRPr="00592DA0">
        <w:t xml:space="preserve">proprement </w:t>
      </w:r>
      <w:r>
        <w:t>dite</w:t>
      </w:r>
      <w:r w:rsidRPr="00592DA0">
        <w:t xml:space="preserve">. </w:t>
      </w:r>
      <w:r>
        <w:t>Guidée par les principes de méthode déjà posés dans son précédent ouvrage, la</w:t>
      </w:r>
      <w:r w:rsidRPr="00592DA0">
        <w:t xml:space="preserve"> relecture</w:t>
      </w:r>
      <w:r w:rsidRPr="00307070">
        <w:t xml:space="preserve">, par </w:t>
      </w:r>
      <w:proofErr w:type="spellStart"/>
      <w:r w:rsidRPr="00307070">
        <w:t>Moyn</w:t>
      </w:r>
      <w:proofErr w:type="spellEnd"/>
      <w:r w:rsidRPr="00307070">
        <w:t>,</w:t>
      </w:r>
      <w:r w:rsidRPr="00592DA0">
        <w:t xml:space="preserve"> de certains aspects de l’histoire du </w:t>
      </w:r>
      <w:proofErr w:type="spellStart"/>
      <w:r w:rsidRPr="00592DA0">
        <w:rPr>
          <w:smallCaps/>
        </w:rPr>
        <w:t>xx</w:t>
      </w:r>
      <w:r w:rsidRPr="00592DA0">
        <w:rPr>
          <w:vertAlign w:val="superscript"/>
        </w:rPr>
        <w:t>e</w:t>
      </w:r>
      <w:proofErr w:type="spellEnd"/>
      <w:r w:rsidRPr="00592DA0">
        <w:t xml:space="preserve"> siècle à l’aune du destin des droits économiques et sociaux et de la justice sociale permet non seulement d’éclairer sous un jour nouveau les rapports des droits humains aux inégalités matérielles, mais aussi, par la réhabilitation de la contingence à laquelle elle conduit, de dégager des possibles, </w:t>
      </w:r>
      <w:r w:rsidRPr="00592DA0">
        <w:lastRenderedPageBreak/>
        <w:t xml:space="preserve">inclusivement des possibles pour l’action. On peut certes regretter, la négligence, à quelques rares exceptions, de la littérature contemporaine d’inspiration </w:t>
      </w:r>
      <w:r>
        <w:t xml:space="preserve">non </w:t>
      </w:r>
      <w:r w:rsidRPr="00592DA0">
        <w:t>rawlsienne</w:t>
      </w:r>
      <w:r w:rsidRPr="008B09AE">
        <w:t xml:space="preserve"> </w:t>
      </w:r>
      <w:r w:rsidRPr="00592DA0">
        <w:t>pour ce qui concerne la philosophie politique</w:t>
      </w:r>
      <w:r>
        <w:t xml:space="preserve"> et, p</w:t>
      </w:r>
      <w:r w:rsidRPr="00592DA0">
        <w:t xml:space="preserve">lus largement, </w:t>
      </w:r>
      <w:r>
        <w:t xml:space="preserve">l’absence </w:t>
      </w:r>
      <w:r w:rsidRPr="00592DA0">
        <w:t>d’une détermination plus précise du « socialisme » présenté comme alternative à la « barbarie » néolibérale, qui devrait venir à l’appui de la justification de la distribution égalitaire par</w:t>
      </w:r>
      <w:r>
        <w:t>-</w:t>
      </w:r>
      <w:r w:rsidRPr="00592DA0">
        <w:t xml:space="preserve">delà le seul enjeu de la satisfaction des besoins. Cette </w:t>
      </w:r>
      <w:r>
        <w:t xml:space="preserve">dernière </w:t>
      </w:r>
      <w:r w:rsidRPr="00592DA0">
        <w:t xml:space="preserve">réserve doit toutefois être tempérée par le fait que cette imprécision renvoie </w:t>
      </w:r>
      <w:r>
        <w:t>aussi</w:t>
      </w:r>
      <w:r w:rsidRPr="00592DA0">
        <w:t xml:space="preserve"> à ce qui est l’un des grands mérites de l’ouvrage : bien que le ton – tout académique – ne soit en rien militant, il est aussi affirmation de ce qu’un autre monde a été et est possible, à condition toutefois de ne pas prendre pour ultime, nécessaire et suffisante ce qui n’est que la dernière en date de nos utopies, dont le triomphe a été fortuit et qui n’est constitutivement porteuse que d’ambitions limitées. Si les droits humains ne </w:t>
      </w:r>
      <w:r>
        <w:t>suffisent pas</w:t>
      </w:r>
      <w:r w:rsidRPr="00592DA0">
        <w:t xml:space="preserve"> face aux injustices du néolibéralisme, contre la formule fameuse de l’une des actrices les plus emblématiques de celui-ci, par la méthode qu’il met en œuvre comme par les thèses qu’il établit, l’ouvrage de </w:t>
      </w:r>
      <w:proofErr w:type="spellStart"/>
      <w:r w:rsidRPr="00592DA0">
        <w:t>Moyn</w:t>
      </w:r>
      <w:proofErr w:type="spellEnd"/>
      <w:r w:rsidRPr="00592DA0">
        <w:t xml:space="preserve"> est affirmation fondée qu’</w:t>
      </w:r>
      <w:r w:rsidRPr="00054892">
        <w:rPr>
          <w:i/>
          <w:iCs/>
        </w:rPr>
        <w:t>il</w:t>
      </w:r>
      <w:r w:rsidRPr="00592DA0">
        <w:t xml:space="preserve"> </w:t>
      </w:r>
      <w:r w:rsidRPr="00592DA0">
        <w:rPr>
          <w:i/>
        </w:rPr>
        <w:t xml:space="preserve">y a </w:t>
      </w:r>
      <w:r w:rsidRPr="00592DA0">
        <w:rPr>
          <w:iCs/>
        </w:rPr>
        <w:t>des alternatives</w:t>
      </w:r>
      <w:r w:rsidRPr="00592DA0">
        <w:t>.</w:t>
      </w:r>
    </w:p>
    <w:p w14:paraId="56FBE6FD" w14:textId="5FA68D29" w:rsidR="00FA3847" w:rsidRPr="00FA3847" w:rsidRDefault="00FA3847" w:rsidP="00FA3847">
      <w:pPr>
        <w:pStyle w:val="VDIpigraphefooter"/>
      </w:pPr>
    </w:p>
    <w:p w14:paraId="764614B3" w14:textId="6496532C" w:rsidR="00473BC4" w:rsidRPr="00473BC4" w:rsidRDefault="00473BC4" w:rsidP="00473BC4">
      <w:pPr>
        <w:pStyle w:val="VDIdate"/>
      </w:pPr>
      <w:r>
        <w:t xml:space="preserve">Publié dans laviedesidees.fr le </w:t>
      </w:r>
      <w:r w:rsidR="0036705E">
        <w:t>22 juillet</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572" w14:textId="77777777" w:rsidR="007E28DB" w:rsidRDefault="007E28DB">
      <w:r>
        <w:separator/>
      </w:r>
    </w:p>
  </w:endnote>
  <w:endnote w:type="continuationSeparator" w:id="0">
    <w:p w14:paraId="5940C4F4" w14:textId="77777777" w:rsidR="007E28DB" w:rsidRDefault="007E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2B34" w14:textId="77777777" w:rsidR="007E28DB" w:rsidRDefault="007E28DB">
      <w:r>
        <w:separator/>
      </w:r>
    </w:p>
  </w:footnote>
  <w:footnote w:type="continuationSeparator" w:id="0">
    <w:p w14:paraId="763757FD" w14:textId="77777777" w:rsidR="007E28DB" w:rsidRDefault="007E28DB">
      <w:r>
        <w:continuationSeparator/>
      </w:r>
    </w:p>
  </w:footnote>
  <w:footnote w:id="1">
    <w:p w14:paraId="781CC098" w14:textId="6FB8A5DF" w:rsidR="00922C9B" w:rsidRPr="00922C9B" w:rsidRDefault="00922C9B" w:rsidP="00922C9B">
      <w:pPr>
        <w:pStyle w:val="Notedebasdepage"/>
      </w:pPr>
      <w:r w:rsidRPr="00922C9B">
        <w:rPr>
          <w:rStyle w:val="Appelnotedebasdep"/>
          <w:vertAlign w:val="baseline"/>
        </w:rPr>
        <w:footnoteRef/>
      </w:r>
      <w:r w:rsidRPr="00922C9B">
        <w:t xml:space="preserve"> S. </w:t>
      </w:r>
      <w:proofErr w:type="spellStart"/>
      <w:r w:rsidRPr="00922C9B">
        <w:t>Moyn</w:t>
      </w:r>
      <w:proofErr w:type="spellEnd"/>
      <w:r w:rsidRPr="00922C9B">
        <w:t xml:space="preserve">, </w:t>
      </w:r>
      <w:r w:rsidRPr="00922C9B">
        <w:rPr>
          <w:i/>
        </w:rPr>
        <w:t xml:space="preserve">The Last </w:t>
      </w:r>
      <w:proofErr w:type="spellStart"/>
      <w:r w:rsidRPr="00922C9B">
        <w:rPr>
          <w:i/>
        </w:rPr>
        <w:t>Utopia</w:t>
      </w:r>
      <w:proofErr w:type="spellEnd"/>
      <w:r w:rsidRPr="00922C9B">
        <w:rPr>
          <w:i/>
        </w:rPr>
        <w:t xml:space="preserve">. </w:t>
      </w:r>
      <w:proofErr w:type="spellStart"/>
      <w:r w:rsidRPr="00922C9B">
        <w:rPr>
          <w:i/>
        </w:rPr>
        <w:t>Human</w:t>
      </w:r>
      <w:proofErr w:type="spellEnd"/>
      <w:r w:rsidRPr="00922C9B">
        <w:rPr>
          <w:i/>
        </w:rPr>
        <w:t xml:space="preserve"> </w:t>
      </w:r>
      <w:proofErr w:type="spellStart"/>
      <w:r w:rsidRPr="00922C9B">
        <w:rPr>
          <w:i/>
        </w:rPr>
        <w:t>Rights</w:t>
      </w:r>
      <w:proofErr w:type="spellEnd"/>
      <w:r w:rsidRPr="00922C9B">
        <w:rPr>
          <w:i/>
        </w:rPr>
        <w:t xml:space="preserve"> in </w:t>
      </w:r>
      <w:proofErr w:type="spellStart"/>
      <w:r w:rsidRPr="00922C9B">
        <w:rPr>
          <w:i/>
        </w:rPr>
        <w:t>History</w:t>
      </w:r>
      <w:proofErr w:type="spellEnd"/>
      <w:r w:rsidRPr="00922C9B">
        <w:t xml:space="preserve">, Cambridge, Mass., The </w:t>
      </w:r>
      <w:proofErr w:type="spellStart"/>
      <w:r w:rsidRPr="00922C9B">
        <w:t>Belknap</w:t>
      </w:r>
      <w:proofErr w:type="spellEnd"/>
      <w:r w:rsidRPr="00922C9B">
        <w:t xml:space="preserve"> of Harvard UP, 2018, </w:t>
      </w:r>
      <w:r w:rsidR="0036705E">
        <w:t>voir la recension par</w:t>
      </w:r>
      <w:r w:rsidRPr="00922C9B">
        <w:t xml:space="preserve"> Justice Lacroix dans laviedesidees.fr : « Des droits de l’homme aux droits humains ? », 20 octobre 2010 [http://www.laviedesidees.fr/Des-droits-de-l-homme-aux-droits.html].</w:t>
      </w:r>
    </w:p>
  </w:footnote>
  <w:footnote w:id="2">
    <w:p w14:paraId="021583AE" w14:textId="77777777" w:rsidR="00922C9B" w:rsidRPr="00922C9B" w:rsidRDefault="00922C9B" w:rsidP="00922C9B">
      <w:pPr>
        <w:pStyle w:val="Notedebasdepage"/>
      </w:pPr>
      <w:r w:rsidRPr="00922C9B">
        <w:rPr>
          <w:rStyle w:val="Appelnotedebasdep"/>
          <w:vertAlign w:val="baseline"/>
        </w:rPr>
        <w:footnoteRef/>
      </w:r>
      <w:r w:rsidRPr="00922C9B">
        <w:t xml:space="preserve"> </w:t>
      </w:r>
      <w:r w:rsidRPr="00922C9B">
        <w:rPr>
          <w:i/>
        </w:rPr>
        <w:t xml:space="preserve">The Last </w:t>
      </w:r>
      <w:proofErr w:type="spellStart"/>
      <w:r w:rsidRPr="00922C9B">
        <w:rPr>
          <w:i/>
        </w:rPr>
        <w:t>Utopia</w:t>
      </w:r>
      <w:proofErr w:type="spellEnd"/>
      <w:r w:rsidRPr="00922C9B">
        <w:t xml:space="preserve"> cherche en effet à établir une distinction ferme entre </w:t>
      </w:r>
      <w:proofErr w:type="spellStart"/>
      <w:r w:rsidRPr="00922C9B">
        <w:t>rights</w:t>
      </w:r>
      <w:proofErr w:type="spellEnd"/>
      <w:r w:rsidRPr="00922C9B">
        <w:t xml:space="preserve"> of men et </w:t>
      </w:r>
      <w:proofErr w:type="spellStart"/>
      <w:r w:rsidRPr="00922C9B">
        <w:t>human</w:t>
      </w:r>
      <w:proofErr w:type="spellEnd"/>
      <w:r w:rsidRPr="00922C9B">
        <w:t xml:space="preserve"> </w:t>
      </w:r>
      <w:proofErr w:type="spellStart"/>
      <w:r w:rsidRPr="00922C9B">
        <w:t>rights</w:t>
      </w:r>
      <w:proofErr w:type="spellEnd"/>
      <w:r w:rsidRPr="00922C9B">
        <w:t xml:space="preserve">, distinction en vertu de laquelle les premiers, ceux des Déclarations du </w:t>
      </w:r>
      <w:proofErr w:type="spellStart"/>
      <w:r w:rsidRPr="00922C9B">
        <w:t>xviiie</w:t>
      </w:r>
      <w:proofErr w:type="spellEnd"/>
      <w:r w:rsidRPr="00922C9B">
        <w:t xml:space="preserve"> siècle, tout entiers tournés du côté de la construction de l'État-nation et de la citoyenneté, seraient véritablement politiques, quand les seconds, liés à un mouvement visant à transcender les États, auraient pour noyau l’individu </w:t>
      </w:r>
      <w:proofErr w:type="spellStart"/>
      <w:r w:rsidRPr="00922C9B">
        <w:t>apolitisé</w:t>
      </w:r>
      <w:proofErr w:type="spellEnd"/>
      <w:r w:rsidRPr="00922C9B">
        <w:t>, seraient au fond porteurs de simples morale ou « politique de la compassion ». Pour une critique du caractère trop tranché de cette distinction, voir notamment la recension de J. Lacroix citée plus haut (note 1).</w:t>
      </w:r>
    </w:p>
  </w:footnote>
  <w:footnote w:id="3">
    <w:p w14:paraId="798CCE02" w14:textId="77777777" w:rsidR="00922C9B" w:rsidRPr="00922C9B" w:rsidRDefault="00922C9B" w:rsidP="00922C9B">
      <w:pPr>
        <w:pStyle w:val="Notedebasdepage"/>
      </w:pPr>
      <w:r w:rsidRPr="00922C9B">
        <w:rPr>
          <w:rStyle w:val="Appelnotedebasdep"/>
          <w:vertAlign w:val="baseline"/>
        </w:rPr>
        <w:footnoteRef/>
      </w:r>
      <w:r w:rsidRPr="00922C9B">
        <w:t xml:space="preserve"> Faute d’en trouver une satisfaisante, je renonce à proposer une traduction pour la locution « </w:t>
      </w:r>
      <w:proofErr w:type="spellStart"/>
      <w:r w:rsidRPr="0036705E">
        <w:rPr>
          <w:i/>
        </w:rPr>
        <w:t>welfare</w:t>
      </w:r>
      <w:proofErr w:type="spellEnd"/>
      <w:r w:rsidRPr="0036705E">
        <w:rPr>
          <w:i/>
        </w:rPr>
        <w:t xml:space="preserve"> state </w:t>
      </w:r>
      <w:r w:rsidRPr="00922C9B">
        <w:t>», comme, plus généralement, pour le terme « </w:t>
      </w:r>
      <w:proofErr w:type="spellStart"/>
      <w:r w:rsidRPr="0036705E">
        <w:rPr>
          <w:i/>
        </w:rPr>
        <w:t>welfare</w:t>
      </w:r>
      <w:proofErr w:type="spellEnd"/>
      <w:r w:rsidRPr="00922C9B">
        <w:t xml:space="preserve"> », et maintiens alors l’anglais. </w:t>
      </w:r>
    </w:p>
  </w:footnote>
  <w:footnote w:id="4">
    <w:p w14:paraId="29C81777" w14:textId="77777777" w:rsidR="00922C9B" w:rsidRPr="00922C9B" w:rsidRDefault="00922C9B" w:rsidP="00922C9B">
      <w:pPr>
        <w:pStyle w:val="Notedebasdepage"/>
      </w:pPr>
      <w:r w:rsidRPr="00922C9B">
        <w:rPr>
          <w:rStyle w:val="Appelnotedebasdep"/>
          <w:vertAlign w:val="baseline"/>
        </w:rPr>
        <w:footnoteRef/>
      </w:r>
      <w:r w:rsidRPr="00922C9B">
        <w:t xml:space="preserve"> </w:t>
      </w:r>
      <w:proofErr w:type="spellStart"/>
      <w:r w:rsidRPr="00922C9B">
        <w:t>Moyn</w:t>
      </w:r>
      <w:proofErr w:type="spellEnd"/>
      <w:r w:rsidRPr="00922C9B">
        <w:t xml:space="preserve"> voit d’ailleurs en Rawls le « dernier jacobin », auquel on pourrait plutôt reprocher d’avoir minoré le principe de suffisance relativement à l’exigence d’égalité. L’amère ironie est toutefois, souligne </w:t>
      </w:r>
      <w:proofErr w:type="spellStart"/>
      <w:r w:rsidRPr="00922C9B">
        <w:t>Moyn</w:t>
      </w:r>
      <w:proofErr w:type="spellEnd"/>
      <w:r w:rsidRPr="00922C9B">
        <w:t xml:space="preserve">, que le monde n’a peut-être jamais autant atteint l’exigence de justice distributive énoncée par Rawls qu’au moment de la parution de la </w:t>
      </w:r>
      <w:r w:rsidRPr="00922C9B">
        <w:rPr>
          <w:i/>
        </w:rPr>
        <w:t>Théorie de la justice</w:t>
      </w:r>
      <w:r w:rsidRPr="00922C9B">
        <w:t> (1972), qui, sous la formule du principe de différence, la justifiait et appelait en quelque sorte à sa réalisation.</w:t>
      </w:r>
    </w:p>
  </w:footnote>
  <w:footnote w:id="5">
    <w:p w14:paraId="33442636" w14:textId="77777777" w:rsidR="00922C9B" w:rsidRPr="00922C9B" w:rsidRDefault="00922C9B" w:rsidP="00922C9B">
      <w:pPr>
        <w:pStyle w:val="Notedebasdepage"/>
      </w:pPr>
      <w:r w:rsidRPr="00922C9B">
        <w:rPr>
          <w:rStyle w:val="Appelnotedebasdep"/>
          <w:vertAlign w:val="baseline"/>
        </w:rPr>
        <w:footnoteRef/>
      </w:r>
      <w:r w:rsidRPr="00922C9B">
        <w:t xml:space="preserve"> Déclaration universelle des droits de l’homme (1948), Préambule. Voir aussi son article 22, qui en appelle à « l’effort national et la coopération internationale ».</w:t>
      </w:r>
    </w:p>
  </w:footnote>
  <w:footnote w:id="6">
    <w:p w14:paraId="587ABF28" w14:textId="77777777" w:rsidR="00922C9B" w:rsidRPr="00922C9B" w:rsidRDefault="00922C9B" w:rsidP="00922C9B">
      <w:pPr>
        <w:pStyle w:val="Notedebasdepage"/>
      </w:pPr>
      <w:r w:rsidRPr="00922C9B">
        <w:rPr>
          <w:rStyle w:val="Appelnotedebasdep"/>
          <w:vertAlign w:val="baseline"/>
        </w:rPr>
        <w:footnoteRef/>
      </w:r>
      <w:r w:rsidRPr="00922C9B">
        <w:t xml:space="preserve"> Voir C.R. </w:t>
      </w:r>
      <w:proofErr w:type="spellStart"/>
      <w:r w:rsidRPr="00922C9B">
        <w:t>Sunstein</w:t>
      </w:r>
      <w:proofErr w:type="spellEnd"/>
      <w:r w:rsidRPr="00922C9B">
        <w:t>, T</w:t>
      </w:r>
      <w:r w:rsidRPr="00922C9B">
        <w:rPr>
          <w:i/>
        </w:rPr>
        <w:t xml:space="preserve">he Second Bill of </w:t>
      </w:r>
      <w:proofErr w:type="spellStart"/>
      <w:proofErr w:type="gramStart"/>
      <w:r w:rsidRPr="00922C9B">
        <w:rPr>
          <w:i/>
        </w:rPr>
        <w:t>Rights</w:t>
      </w:r>
      <w:proofErr w:type="spellEnd"/>
      <w:r w:rsidRPr="00922C9B">
        <w:rPr>
          <w:i/>
        </w:rPr>
        <w:t>:</w:t>
      </w:r>
      <w:proofErr w:type="gramEnd"/>
      <w:r w:rsidRPr="00922C9B">
        <w:rPr>
          <w:i/>
        </w:rPr>
        <w:t xml:space="preserve"> </w:t>
      </w:r>
      <w:proofErr w:type="spellStart"/>
      <w:r w:rsidRPr="00922C9B">
        <w:rPr>
          <w:i/>
        </w:rPr>
        <w:t>FDR's</w:t>
      </w:r>
      <w:proofErr w:type="spellEnd"/>
      <w:r w:rsidRPr="00922C9B">
        <w:rPr>
          <w:i/>
        </w:rPr>
        <w:t xml:space="preserve"> </w:t>
      </w:r>
      <w:proofErr w:type="spellStart"/>
      <w:r w:rsidRPr="00922C9B">
        <w:rPr>
          <w:i/>
        </w:rPr>
        <w:t>Unfinished</w:t>
      </w:r>
      <w:proofErr w:type="spellEnd"/>
      <w:r w:rsidRPr="00922C9B">
        <w:rPr>
          <w:i/>
        </w:rPr>
        <w:t xml:space="preserve"> </w:t>
      </w:r>
      <w:proofErr w:type="spellStart"/>
      <w:r w:rsidRPr="00922C9B">
        <w:rPr>
          <w:i/>
        </w:rPr>
        <w:t>Revolution</w:t>
      </w:r>
      <w:proofErr w:type="spellEnd"/>
      <w:r w:rsidRPr="00922C9B">
        <w:rPr>
          <w:i/>
        </w:rPr>
        <w:t xml:space="preserve"> and </w:t>
      </w:r>
      <w:proofErr w:type="spellStart"/>
      <w:r w:rsidRPr="00922C9B">
        <w:rPr>
          <w:i/>
        </w:rPr>
        <w:t>Why</w:t>
      </w:r>
      <w:proofErr w:type="spellEnd"/>
      <w:r w:rsidRPr="00922C9B">
        <w:rPr>
          <w:i/>
        </w:rPr>
        <w:t xml:space="preserve"> </w:t>
      </w:r>
      <w:proofErr w:type="spellStart"/>
      <w:r w:rsidRPr="00922C9B">
        <w:rPr>
          <w:i/>
        </w:rPr>
        <w:t>We</w:t>
      </w:r>
      <w:proofErr w:type="spellEnd"/>
      <w:r w:rsidRPr="00922C9B">
        <w:rPr>
          <w:i/>
        </w:rPr>
        <w:t xml:space="preserve"> </w:t>
      </w:r>
      <w:proofErr w:type="spellStart"/>
      <w:r w:rsidRPr="00922C9B">
        <w:rPr>
          <w:i/>
        </w:rPr>
        <w:t>Need</w:t>
      </w:r>
      <w:proofErr w:type="spellEnd"/>
      <w:r w:rsidRPr="00922C9B">
        <w:rPr>
          <w:i/>
        </w:rPr>
        <w:t xml:space="preserve"> It More </w:t>
      </w:r>
      <w:proofErr w:type="spellStart"/>
      <w:r w:rsidRPr="00922C9B">
        <w:rPr>
          <w:i/>
        </w:rPr>
        <w:t>Than</w:t>
      </w:r>
      <w:proofErr w:type="spellEnd"/>
      <w:r w:rsidRPr="00922C9B">
        <w:rPr>
          <w:i/>
        </w:rPr>
        <w:t xml:space="preserve"> </w:t>
      </w:r>
      <w:proofErr w:type="spellStart"/>
      <w:r w:rsidRPr="00922C9B">
        <w:rPr>
          <w:i/>
        </w:rPr>
        <w:t>Ever</w:t>
      </w:r>
      <w:proofErr w:type="spellEnd"/>
      <w:r w:rsidRPr="00922C9B">
        <w:t>, New York, Basic Books, 2004.</w:t>
      </w:r>
    </w:p>
  </w:footnote>
  <w:footnote w:id="7">
    <w:p w14:paraId="78043DB1" w14:textId="77777777" w:rsidR="00922C9B" w:rsidRPr="00922C9B" w:rsidRDefault="00922C9B" w:rsidP="00922C9B">
      <w:pPr>
        <w:pStyle w:val="Notedebasdepage"/>
      </w:pPr>
      <w:r w:rsidRPr="00922C9B">
        <w:rPr>
          <w:rStyle w:val="Appelnotedebasdep"/>
          <w:vertAlign w:val="baseline"/>
        </w:rPr>
        <w:footnoteRef/>
      </w:r>
      <w:r w:rsidRPr="00922C9B">
        <w:t xml:space="preserve"> « Années glorieuses du New Deal » qui se présentent alors comme la « grande exception » dont, du point de vue de la justice sociale, le </w:t>
      </w:r>
      <w:proofErr w:type="spellStart"/>
      <w:r w:rsidRPr="00922C9B">
        <w:t>Fair</w:t>
      </w:r>
      <w:proofErr w:type="spellEnd"/>
      <w:r w:rsidRPr="00922C9B">
        <w:t xml:space="preserve"> Labour Standards </w:t>
      </w:r>
      <w:proofErr w:type="spellStart"/>
      <w:r w:rsidRPr="00922C9B">
        <w:t>Act</w:t>
      </w:r>
      <w:proofErr w:type="spellEnd"/>
      <w:r w:rsidRPr="00922C9B">
        <w:t xml:space="preserve"> de 1938 et, surtout, le Wagner </w:t>
      </w:r>
      <w:proofErr w:type="spellStart"/>
      <w:r w:rsidRPr="00922C9B">
        <w:t>Act</w:t>
      </w:r>
      <w:proofErr w:type="spellEnd"/>
      <w:r w:rsidRPr="00922C9B">
        <w:t xml:space="preserve"> de 1935 sont parmi les plus importantes réalisations.</w:t>
      </w:r>
    </w:p>
  </w:footnote>
  <w:footnote w:id="8">
    <w:p w14:paraId="55BF992C" w14:textId="19C0466A" w:rsidR="00922C9B" w:rsidRPr="00922C9B" w:rsidRDefault="00922C9B" w:rsidP="00922C9B">
      <w:pPr>
        <w:pStyle w:val="Notedebasdepage"/>
      </w:pPr>
      <w:r w:rsidRPr="00922C9B">
        <w:rPr>
          <w:rStyle w:val="Appelnotedebasdep"/>
          <w:vertAlign w:val="baseline"/>
        </w:rPr>
        <w:footnoteRef/>
      </w:r>
      <w:r w:rsidRPr="00922C9B">
        <w:t xml:space="preserve"> Lequel a fait l’objet d’une adoption par l’Assemblée des Nations Uni</w:t>
      </w:r>
      <w:r w:rsidR="0036705E">
        <w:t>e</w:t>
      </w:r>
      <w:r w:rsidRPr="00922C9B">
        <w:t>s en 1974 (Résolution 3201 de l’Assemblée générale des Nations Unies, 1er mai 1974).</w:t>
      </w:r>
    </w:p>
  </w:footnote>
  <w:footnote w:id="9">
    <w:p w14:paraId="32642026" w14:textId="77777777" w:rsidR="00922C9B" w:rsidRPr="00922C9B" w:rsidRDefault="00922C9B" w:rsidP="00922C9B">
      <w:pPr>
        <w:pStyle w:val="Notedebasdepage"/>
      </w:pPr>
      <w:r w:rsidRPr="00922C9B">
        <w:rPr>
          <w:rStyle w:val="Appelnotedebasdep"/>
          <w:vertAlign w:val="baseline"/>
        </w:rPr>
        <w:footnoteRef/>
      </w:r>
      <w:r w:rsidRPr="00922C9B">
        <w:t xml:space="preserve"> Cette place seconde du discours des droits à la faveur de l’économie renvoie aussi à la proximité de nombre de ces acteurs avec le socialisme, un socialisme visant à se faire « projet mondial » et qui trouve à s’inscrire dans un certain nombre de constitutions (nationales), de l’Algérie à l’Inde.</w:t>
      </w:r>
    </w:p>
  </w:footnote>
  <w:footnote w:id="10">
    <w:p w14:paraId="4632329D" w14:textId="49ED296F" w:rsidR="00922C9B" w:rsidRPr="00922C9B" w:rsidRDefault="00922C9B" w:rsidP="00922C9B">
      <w:pPr>
        <w:pStyle w:val="Notedebasdepage"/>
      </w:pPr>
      <w:r w:rsidRPr="00922C9B">
        <w:rPr>
          <w:rStyle w:val="Appelnotedebasdep"/>
          <w:vertAlign w:val="baseline"/>
        </w:rPr>
        <w:footnoteRef/>
      </w:r>
      <w:r w:rsidRPr="00922C9B">
        <w:t xml:space="preserve"> Sur cet aspect du NOEI aussi, du côté de la théorie, c’est à Gunnar Myrdal, père du concept de « </w:t>
      </w:r>
      <w:proofErr w:type="spellStart"/>
      <w:r w:rsidRPr="00922C9B">
        <w:t>welfare</w:t>
      </w:r>
      <w:proofErr w:type="spellEnd"/>
      <w:r w:rsidRPr="00922C9B">
        <w:t xml:space="preserve"> world », qu’il faut attribuer la conception plus systématique d’un nouvel internationalisme combinant la forme internationaliste du libre marché du </w:t>
      </w:r>
      <w:r>
        <w:t>XIX</w:t>
      </w:r>
      <w:r w:rsidRPr="00922C9B">
        <w:t xml:space="preserve">e siècle et le contenu du </w:t>
      </w:r>
      <w:proofErr w:type="spellStart"/>
      <w:r w:rsidRPr="00922C9B">
        <w:t>welfariste</w:t>
      </w:r>
      <w:proofErr w:type="spellEnd"/>
      <w:r w:rsidRPr="00922C9B">
        <w:t xml:space="preserve"> de l’État de la seconde moitié du </w:t>
      </w:r>
      <w:r>
        <w:t>XX</w:t>
      </w:r>
      <w:r w:rsidRPr="00922C9B">
        <w:t>e siècle (</w:t>
      </w:r>
      <w:proofErr w:type="spellStart"/>
      <w:r w:rsidRPr="00922C9B">
        <w:t>Moyn</w:t>
      </w:r>
      <w:proofErr w:type="spellEnd"/>
      <w:r w:rsidRPr="00922C9B">
        <w:t xml:space="preserve"> s’appuie principalement sur l’édition américaine de </w:t>
      </w:r>
      <w:r w:rsidRPr="00922C9B">
        <w:rPr>
          <w:i/>
        </w:rPr>
        <w:t xml:space="preserve">Rich Lands and Poor : Rich Lands and Poor: The Road to World </w:t>
      </w:r>
      <w:proofErr w:type="spellStart"/>
      <w:r w:rsidRPr="00922C9B">
        <w:rPr>
          <w:i/>
        </w:rPr>
        <w:t>Prosperity</w:t>
      </w:r>
      <w:proofErr w:type="spellEnd"/>
      <w:r w:rsidRPr="00922C9B">
        <w:t xml:space="preserve">, New York, Harper &amp; </w:t>
      </w:r>
      <w:proofErr w:type="spellStart"/>
      <w:r w:rsidRPr="00922C9B">
        <w:t>Row</w:t>
      </w:r>
      <w:proofErr w:type="spellEnd"/>
      <w:r w:rsidRPr="00922C9B">
        <w:t>, 1958).</w:t>
      </w:r>
    </w:p>
  </w:footnote>
  <w:footnote w:id="11">
    <w:p w14:paraId="56211A41" w14:textId="77777777" w:rsidR="00922C9B" w:rsidRPr="00922C9B" w:rsidRDefault="00922C9B" w:rsidP="00922C9B">
      <w:pPr>
        <w:pStyle w:val="Notedebasdepage"/>
      </w:pPr>
      <w:r w:rsidRPr="00922C9B">
        <w:rPr>
          <w:rStyle w:val="Appelnotedebasdep"/>
          <w:vertAlign w:val="baseline"/>
        </w:rPr>
        <w:footnoteRef/>
      </w:r>
      <w:r w:rsidRPr="00922C9B">
        <w:t xml:space="preserve"> « Justice and International Relations », </w:t>
      </w:r>
      <w:proofErr w:type="spellStart"/>
      <w:r w:rsidRPr="00922C9B">
        <w:rPr>
          <w:i/>
        </w:rPr>
        <w:t>Philosophy</w:t>
      </w:r>
      <w:proofErr w:type="spellEnd"/>
      <w:r w:rsidRPr="00922C9B">
        <w:rPr>
          <w:i/>
        </w:rPr>
        <w:t xml:space="preserve"> and Public </w:t>
      </w:r>
      <w:proofErr w:type="spellStart"/>
      <w:r w:rsidRPr="00922C9B">
        <w:rPr>
          <w:i/>
        </w:rPr>
        <w:t>Affairs</w:t>
      </w:r>
      <w:proofErr w:type="spellEnd"/>
      <w:r w:rsidRPr="00922C9B">
        <w:t>, 4, no 4, 1975, p. 360-389.</w:t>
      </w:r>
    </w:p>
  </w:footnote>
  <w:footnote w:id="12">
    <w:p w14:paraId="4EF920AE" w14:textId="77777777" w:rsidR="00922C9B" w:rsidRPr="00922C9B" w:rsidRDefault="00922C9B" w:rsidP="00922C9B">
      <w:pPr>
        <w:pStyle w:val="Notedebasdepage"/>
      </w:pPr>
      <w:r w:rsidRPr="00922C9B">
        <w:rPr>
          <w:rStyle w:val="Appelnotedebasdep"/>
          <w:vertAlign w:val="baseline"/>
        </w:rPr>
        <w:footnoteRef/>
      </w:r>
      <w:r w:rsidRPr="00922C9B">
        <w:t xml:space="preserve"> </w:t>
      </w:r>
      <w:proofErr w:type="spellStart"/>
      <w:r w:rsidRPr="00922C9B">
        <w:rPr>
          <w:i/>
        </w:rPr>
        <w:t>Political</w:t>
      </w:r>
      <w:proofErr w:type="spellEnd"/>
      <w:r w:rsidRPr="00922C9B">
        <w:rPr>
          <w:i/>
        </w:rPr>
        <w:t xml:space="preserve"> Theory and International Relations</w:t>
      </w:r>
      <w:r w:rsidRPr="00922C9B">
        <w:t>, Princeton, Princeton UP, 1979.</w:t>
      </w:r>
    </w:p>
  </w:footnote>
  <w:footnote w:id="13">
    <w:p w14:paraId="466790B9" w14:textId="77777777" w:rsidR="00922C9B" w:rsidRPr="00922C9B" w:rsidRDefault="00922C9B" w:rsidP="00922C9B">
      <w:pPr>
        <w:pStyle w:val="Notedebasdepage"/>
      </w:pPr>
      <w:r w:rsidRPr="00922C9B">
        <w:rPr>
          <w:rStyle w:val="Appelnotedebasdep"/>
          <w:vertAlign w:val="baseline"/>
        </w:rPr>
        <w:footnoteRef/>
      </w:r>
      <w:r w:rsidRPr="00922C9B">
        <w:t xml:space="preserve"> Relevons toutefois, dès 1975, l’ambivalence de la référence de </w:t>
      </w:r>
      <w:proofErr w:type="spellStart"/>
      <w:r w:rsidRPr="00922C9B">
        <w:t>Beitz</w:t>
      </w:r>
      <w:proofErr w:type="spellEnd"/>
      <w:r w:rsidRPr="00922C9B">
        <w:t xml:space="preserve"> au NOEI, puisque tout en posant comme centrale l’idée d’interdépendance, il s’inscrit déjà en faux contre ce qui est l’une des exigences les plus fortes des Non-Alignés : la revendication de souveraineté sur les ressources naturelles, assise sur le principe de la souveraineté nationale et d’autodétermination des peuples.</w:t>
      </w:r>
    </w:p>
  </w:footnote>
  <w:footnote w:id="14">
    <w:p w14:paraId="297229BA" w14:textId="77777777" w:rsidR="00922C9B" w:rsidRPr="00922C9B" w:rsidRDefault="00922C9B" w:rsidP="00922C9B">
      <w:pPr>
        <w:pStyle w:val="Notedebasdepage"/>
      </w:pPr>
      <w:r w:rsidRPr="00922C9B">
        <w:rPr>
          <w:rStyle w:val="Appelnotedebasdep"/>
          <w:vertAlign w:val="baseline"/>
        </w:rPr>
        <w:footnoteRef/>
      </w:r>
      <w:r w:rsidRPr="00922C9B">
        <w:t xml:space="preserve"> Voir H. </w:t>
      </w:r>
      <w:proofErr w:type="spellStart"/>
      <w:r w:rsidRPr="00922C9B">
        <w:t>Shue</w:t>
      </w:r>
      <w:proofErr w:type="spellEnd"/>
      <w:r w:rsidRPr="00922C9B">
        <w:t xml:space="preserve">, </w:t>
      </w:r>
      <w:r w:rsidRPr="00922C9B">
        <w:rPr>
          <w:i/>
        </w:rPr>
        <w:t xml:space="preserve">Basic </w:t>
      </w:r>
      <w:proofErr w:type="spellStart"/>
      <w:proofErr w:type="gramStart"/>
      <w:r w:rsidRPr="00922C9B">
        <w:rPr>
          <w:i/>
        </w:rPr>
        <w:t>Rights</w:t>
      </w:r>
      <w:proofErr w:type="spellEnd"/>
      <w:r w:rsidRPr="00922C9B">
        <w:rPr>
          <w:i/>
        </w:rPr>
        <w:t>:</w:t>
      </w:r>
      <w:proofErr w:type="gramEnd"/>
      <w:r w:rsidRPr="00922C9B">
        <w:rPr>
          <w:i/>
        </w:rPr>
        <w:t xml:space="preserve"> </w:t>
      </w:r>
      <w:proofErr w:type="spellStart"/>
      <w:r w:rsidRPr="00922C9B">
        <w:rPr>
          <w:i/>
        </w:rPr>
        <w:t>Subsistence</w:t>
      </w:r>
      <w:proofErr w:type="spellEnd"/>
      <w:r w:rsidRPr="00922C9B">
        <w:rPr>
          <w:i/>
        </w:rPr>
        <w:t xml:space="preserve">, Affluence, and U.S. </w:t>
      </w:r>
      <w:proofErr w:type="spellStart"/>
      <w:r w:rsidRPr="00922C9B">
        <w:rPr>
          <w:i/>
        </w:rPr>
        <w:t>Foreign</w:t>
      </w:r>
      <w:proofErr w:type="spellEnd"/>
      <w:r w:rsidRPr="00922C9B">
        <w:rPr>
          <w:i/>
        </w:rPr>
        <w:t xml:space="preserve"> Policy</w:t>
      </w:r>
      <w:r w:rsidRPr="00922C9B">
        <w:t>, Princeton, Princeton UP, 1980.</w:t>
      </w:r>
    </w:p>
  </w:footnote>
  <w:footnote w:id="15">
    <w:p w14:paraId="6987EA64" w14:textId="77777777" w:rsidR="00922C9B" w:rsidRPr="00922C9B" w:rsidRDefault="00922C9B" w:rsidP="00922C9B">
      <w:pPr>
        <w:pStyle w:val="Notedebasdepage"/>
      </w:pPr>
      <w:r w:rsidRPr="00922C9B">
        <w:rPr>
          <w:rStyle w:val="Appelnotedebasdep"/>
          <w:vertAlign w:val="baseline"/>
        </w:rPr>
        <w:footnoteRef/>
      </w:r>
      <w:r w:rsidRPr="00922C9B">
        <w:t xml:space="preserve"> C’est déjà, notamment, l’un des aspects de la critique que le Marx de </w:t>
      </w:r>
      <w:r w:rsidRPr="0036705E">
        <w:rPr>
          <w:i/>
        </w:rPr>
        <w:t>La question juive</w:t>
      </w:r>
      <w:r w:rsidRPr="00922C9B">
        <w:t xml:space="preserve"> opposait aux droits de l’homme dans leur prétention à constituer le dernier mot de l’émancipation humaine.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F4EFA"/>
    <w:rsid w:val="003616E4"/>
    <w:rsid w:val="0036705E"/>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B195A"/>
    <w:rsid w:val="004D6529"/>
    <w:rsid w:val="004F57E5"/>
    <w:rsid w:val="005069BE"/>
    <w:rsid w:val="0053174B"/>
    <w:rsid w:val="0054181B"/>
    <w:rsid w:val="0055353D"/>
    <w:rsid w:val="005A105D"/>
    <w:rsid w:val="005A77EA"/>
    <w:rsid w:val="005C5829"/>
    <w:rsid w:val="005F1D91"/>
    <w:rsid w:val="00604921"/>
    <w:rsid w:val="00611280"/>
    <w:rsid w:val="00612B0E"/>
    <w:rsid w:val="00617961"/>
    <w:rsid w:val="00625476"/>
    <w:rsid w:val="00632336"/>
    <w:rsid w:val="0063372A"/>
    <w:rsid w:val="006432B1"/>
    <w:rsid w:val="00665400"/>
    <w:rsid w:val="00681218"/>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28DB"/>
    <w:rsid w:val="007E729E"/>
    <w:rsid w:val="007F18AD"/>
    <w:rsid w:val="00803108"/>
    <w:rsid w:val="00825C8F"/>
    <w:rsid w:val="00865D74"/>
    <w:rsid w:val="00865FAE"/>
    <w:rsid w:val="008820D6"/>
    <w:rsid w:val="00882F40"/>
    <w:rsid w:val="008C7D8A"/>
    <w:rsid w:val="008D57AB"/>
    <w:rsid w:val="008E46DD"/>
    <w:rsid w:val="008E5CFF"/>
    <w:rsid w:val="00922C9B"/>
    <w:rsid w:val="009243CE"/>
    <w:rsid w:val="009403BD"/>
    <w:rsid w:val="00961394"/>
    <w:rsid w:val="0098253B"/>
    <w:rsid w:val="009A5FD5"/>
    <w:rsid w:val="009F38EB"/>
    <w:rsid w:val="009F57ED"/>
    <w:rsid w:val="00A8559A"/>
    <w:rsid w:val="00A9074C"/>
    <w:rsid w:val="00A925EA"/>
    <w:rsid w:val="00AD101D"/>
    <w:rsid w:val="00AD258A"/>
    <w:rsid w:val="00AE08CB"/>
    <w:rsid w:val="00AE4248"/>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D2835"/>
    <w:rsid w:val="00CD4D52"/>
    <w:rsid w:val="00CE3519"/>
    <w:rsid w:val="00CE415E"/>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73042"/>
    <w:rsid w:val="00E82115"/>
    <w:rsid w:val="00E90020"/>
    <w:rsid w:val="00E957F2"/>
    <w:rsid w:val="00ED5C35"/>
    <w:rsid w:val="00ED6787"/>
    <w:rsid w:val="00EE1383"/>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semiHidden/>
    <w:unhideWhenUsed/>
    <w:rsid w:val="00922C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s -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Notes -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922C9B"/>
    <w:rPr>
      <w:rFonts w:asciiTheme="majorHAnsi" w:eastAsiaTheme="majorEastAsia" w:hAnsiTheme="majorHAnsi" w:cstheme="majorBidi"/>
      <w:color w:val="365F91" w:themeColor="accent1" w:themeShade="BF"/>
      <w:sz w:val="26"/>
      <w:szCs w:val="26"/>
      <w:bdr w:val="none" w:sz="0" w:space="0" w:color="auto"/>
      <w:lang w:eastAsia="en-US"/>
    </w:rPr>
  </w:style>
  <w:style w:type="paragraph" w:customStyle="1" w:styleId="Notes-Corpsdetexte">
    <w:name w:val="Notes - Corps de texte"/>
    <w:basedOn w:val="Normal"/>
    <w:link w:val="Notes-CorpsdetexteCar"/>
    <w:qFormat/>
    <w:rsid w:val="00922C9B"/>
    <w:pPr>
      <w:ind w:firstLine="284"/>
      <w:jc w:val="both"/>
    </w:pPr>
    <w:rPr>
      <w:rFonts w:eastAsiaTheme="minorEastAsia"/>
      <w:sz w:val="22"/>
      <w:lang w:eastAsia="fr-FR"/>
    </w:rPr>
  </w:style>
  <w:style w:type="character" w:customStyle="1" w:styleId="Notes-CorpsdetexteCar">
    <w:name w:val="Notes - Corps de texte Car"/>
    <w:basedOn w:val="Policepardfaut"/>
    <w:link w:val="Notes-Corpsdetexte"/>
    <w:rsid w:val="00922C9B"/>
    <w:rPr>
      <w:rFonts w:asciiTheme="minorHAnsi" w:eastAsiaTheme="minorEastAsia" w:hAnsiTheme="minorHAnsi" w:cstheme="minorBidi"/>
      <w:sz w:val="22"/>
      <w:szCs w:val="24"/>
      <w:bdr w:val="none" w:sz="0" w:space="0" w:color="auto"/>
    </w:rPr>
  </w:style>
  <w:style w:type="paragraph" w:customStyle="1" w:styleId="Notesssretrait">
    <w:name w:val="Notes ss retrait"/>
    <w:basedOn w:val="Notes-Corpsdetexte"/>
    <w:link w:val="NotesssretraitCar"/>
    <w:qFormat/>
    <w:rsid w:val="00922C9B"/>
    <w:pPr>
      <w:ind w:firstLine="0"/>
    </w:pPr>
  </w:style>
  <w:style w:type="character" w:customStyle="1" w:styleId="NotesssretraitCar">
    <w:name w:val="Notes ss retrait Car"/>
    <w:basedOn w:val="Notes-CorpsdetexteCar"/>
    <w:link w:val="Notesssretrait"/>
    <w:rsid w:val="00922C9B"/>
    <w:rPr>
      <w:rFonts w:asciiTheme="minorHAnsi" w:eastAsiaTheme="minorEastAsia" w:hAnsiTheme="minorHAnsi" w:cstheme="minorBidi"/>
      <w:sz w:val="22"/>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53BE8E-B3BB-8441-AE51-6C01750D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2834</Words>
  <Characters>15591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2019-07-02T12:36:00Z</dcterms:created>
  <dcterms:modified xsi:type="dcterms:W3CDTF">2019-07-02T12:43:00Z</dcterms:modified>
</cp:coreProperties>
</file>