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3A30" w14:textId="7C8E3BC5" w:rsidR="00AB49D9" w:rsidRDefault="00AB49D9" w:rsidP="00473BC4">
      <w:pPr>
        <w:pStyle w:val="VDIRecens"/>
      </w:pPr>
    </w:p>
    <w:p w14:paraId="5C3B7C3D" w14:textId="77777777" w:rsidR="00AB49D9" w:rsidRDefault="00AB49D9" w:rsidP="00AB49D9">
      <w:pPr>
        <w:pStyle w:val="VDITitre"/>
      </w:pPr>
      <w:r>
        <w:t>Le l</w:t>
      </w:r>
      <w:r w:rsidRPr="00B11A6E">
        <w:t>ong chemin vers l’Europe politique</w:t>
      </w:r>
    </w:p>
    <w:p w14:paraId="711A1802" w14:textId="77777777" w:rsidR="00AB49D9" w:rsidRDefault="00AB49D9" w:rsidP="00AB49D9">
      <w:pPr>
        <w:jc w:val="center"/>
        <w:rPr>
          <w:rFonts w:ascii="Times New Roman" w:hAnsi="Times New Roman" w:cs="Times New Roman"/>
          <w:b/>
          <w:sz w:val="26"/>
          <w:szCs w:val="26"/>
        </w:rPr>
      </w:pPr>
    </w:p>
    <w:p w14:paraId="1117FB7E" w14:textId="63755E47" w:rsidR="00AB49D9" w:rsidRDefault="00AB49D9" w:rsidP="00AB49D9">
      <w:pPr>
        <w:pStyle w:val="VDIAuteur"/>
      </w:pPr>
      <w:proofErr w:type="gramStart"/>
      <w:r>
        <w:t>par</w:t>
      </w:r>
      <w:proofErr w:type="gramEnd"/>
      <w:r>
        <w:t xml:space="preserve"> </w:t>
      </w:r>
      <w:r w:rsidRPr="003A6DE5">
        <w:t xml:space="preserve">Julien </w:t>
      </w:r>
      <w:proofErr w:type="spellStart"/>
      <w:r w:rsidRPr="003A6DE5">
        <w:t>Barroche</w:t>
      </w:r>
      <w:proofErr w:type="spellEnd"/>
    </w:p>
    <w:p w14:paraId="6017C080" w14:textId="77777777" w:rsidR="00AB49D9" w:rsidRDefault="00AB49D9" w:rsidP="00AB49D9">
      <w:pPr>
        <w:jc w:val="center"/>
        <w:rPr>
          <w:rFonts w:ascii="Times New Roman" w:hAnsi="Times New Roman" w:cs="Times New Roman"/>
        </w:rPr>
      </w:pPr>
    </w:p>
    <w:p w14:paraId="0A40E364" w14:textId="77777777" w:rsidR="00AB49D9" w:rsidRDefault="00AB49D9" w:rsidP="00AB49D9">
      <w:pPr>
        <w:jc w:val="both"/>
        <w:rPr>
          <w:rFonts w:ascii="Times New Roman" w:hAnsi="Times New Roman" w:cs="Times New Roman"/>
          <w:b/>
        </w:rPr>
      </w:pPr>
    </w:p>
    <w:p w14:paraId="63CE66B6" w14:textId="3F25C792" w:rsidR="00AB49D9" w:rsidRPr="00AB49D9" w:rsidRDefault="00AB49D9" w:rsidP="00AB49D9">
      <w:pPr>
        <w:pStyle w:val="VDIRecens"/>
        <w:rPr>
          <w:b/>
          <w:smallCaps/>
        </w:rPr>
      </w:pPr>
      <w:r w:rsidRPr="003A6DE5">
        <w:rPr>
          <w:b/>
        </w:rPr>
        <w:t>Recensé</w:t>
      </w:r>
      <w:r>
        <w:t xml:space="preserve"> : </w:t>
      </w:r>
      <w:proofErr w:type="spellStart"/>
      <w:r w:rsidRPr="00B11A6E">
        <w:t>Luuk</w:t>
      </w:r>
      <w:proofErr w:type="spellEnd"/>
      <w:r w:rsidRPr="00B11A6E">
        <w:t xml:space="preserve"> </w:t>
      </w:r>
      <w:r w:rsidRPr="003A6DE5">
        <w:t xml:space="preserve">van </w:t>
      </w:r>
      <w:proofErr w:type="spellStart"/>
      <w:r w:rsidRPr="003A6DE5">
        <w:t>Middelaar</w:t>
      </w:r>
      <w:proofErr w:type="spellEnd"/>
      <w:r w:rsidRPr="00B11A6E">
        <w:t xml:space="preserve">, </w:t>
      </w:r>
      <w:r w:rsidRPr="00AB49D9">
        <w:rPr>
          <w:i/>
        </w:rPr>
        <w:t>Quand l’Europe improvise. Dix ans de crises politiques</w:t>
      </w:r>
      <w:r w:rsidRPr="00B11A6E">
        <w:t>,</w:t>
      </w:r>
      <w:r>
        <w:t xml:space="preserve"> </w:t>
      </w:r>
      <w:r>
        <w:rPr>
          <w:rFonts w:ascii="Times New Roman" w:hAnsi="Times New Roman"/>
        </w:rPr>
        <w:t>trad</w:t>
      </w:r>
      <w:r w:rsidR="000363B1">
        <w:rPr>
          <w:rFonts w:ascii="Times New Roman" w:hAnsi="Times New Roman"/>
        </w:rPr>
        <w:t>uit du néerlandais par</w:t>
      </w:r>
      <w:r>
        <w:rPr>
          <w:rFonts w:ascii="Times New Roman" w:hAnsi="Times New Roman"/>
        </w:rPr>
        <w:t xml:space="preserve"> D</w:t>
      </w:r>
      <w:r w:rsidR="000363B1">
        <w:rPr>
          <w:rFonts w:ascii="Times New Roman" w:hAnsi="Times New Roman"/>
        </w:rPr>
        <w:t>aniel</w:t>
      </w:r>
      <w:bookmarkStart w:id="0" w:name="_GoBack"/>
      <w:bookmarkEnd w:id="0"/>
      <w:r>
        <w:rPr>
          <w:rFonts w:ascii="Times New Roman" w:hAnsi="Times New Roman"/>
        </w:rPr>
        <w:t> </w:t>
      </w:r>
      <w:proofErr w:type="spellStart"/>
      <w:r>
        <w:rPr>
          <w:rFonts w:ascii="Times New Roman" w:hAnsi="Times New Roman"/>
        </w:rPr>
        <w:t>Cunin</w:t>
      </w:r>
      <w:proofErr w:type="spellEnd"/>
      <w:r>
        <w:rPr>
          <w:rFonts w:ascii="Times New Roman" w:hAnsi="Times New Roman"/>
        </w:rPr>
        <w:t xml:space="preserve">, </w:t>
      </w:r>
      <w:r w:rsidRPr="00B11A6E">
        <w:rPr>
          <w:rFonts w:ascii="Times New Roman" w:hAnsi="Times New Roman"/>
        </w:rPr>
        <w:t>Gallimard, 2018, 412 p.</w:t>
      </w:r>
      <w:r>
        <w:rPr>
          <w:rFonts w:ascii="Times New Roman" w:hAnsi="Times New Roman"/>
        </w:rPr>
        <w:t>, 24 €.</w:t>
      </w:r>
    </w:p>
    <w:p w14:paraId="4EFBEF4B" w14:textId="77777777" w:rsidR="00AB49D9" w:rsidRDefault="00AB49D9" w:rsidP="00AB49D9">
      <w:pPr>
        <w:pStyle w:val="Corps"/>
      </w:pPr>
      <w:r w:rsidRPr="00B11A6E">
        <w:rPr>
          <w:i/>
        </w:rPr>
        <w:t>Quand l’Europe improvise</w:t>
      </w:r>
      <w:r>
        <w:t xml:space="preserve"> prolonge et amplifie la démonstration entamée dans </w:t>
      </w:r>
      <w:r>
        <w:rPr>
          <w:i/>
        </w:rPr>
        <w:t xml:space="preserve">Le </w:t>
      </w:r>
      <w:r w:rsidRPr="00B11A6E">
        <w:rPr>
          <w:i/>
        </w:rPr>
        <w:t>Passage à l’Europe</w:t>
      </w:r>
      <w:r>
        <w:t xml:space="preserve">, précédent ouvrage de </w:t>
      </w:r>
      <w:proofErr w:type="spellStart"/>
      <w:r>
        <w:t>Luuk</w:t>
      </w:r>
      <w:proofErr w:type="spellEnd"/>
      <w:r>
        <w:t xml:space="preserve"> van </w:t>
      </w:r>
      <w:proofErr w:type="spellStart"/>
      <w:r>
        <w:t>Middelaar</w:t>
      </w:r>
      <w:proofErr w:type="spellEnd"/>
      <w:r>
        <w:t xml:space="preserve"> paru en français il y a six ans. Le philosophe néerlandais y livrait un regard profondément renouvelé sur l’histoire de la construction européenne et, dans une inspiration assez proche des thèses réalistes d’Alan </w:t>
      </w:r>
      <w:proofErr w:type="spellStart"/>
      <w:r>
        <w:t>Milward</w:t>
      </w:r>
      <w:proofErr w:type="spellEnd"/>
      <w:r>
        <w:rPr>
          <w:rStyle w:val="Appelnotedebasdep"/>
          <w:rFonts w:ascii="Times New Roman" w:hAnsi="Times New Roman" w:cs="Times New Roman"/>
        </w:rPr>
        <w:footnoteReference w:id="1"/>
      </w:r>
      <w:r>
        <w:t xml:space="preserve">, n’hésitait pas à battre en brèche un certain nombre d’idées reçues véhiculées par l’historiographie </w:t>
      </w:r>
      <w:proofErr w:type="spellStart"/>
      <w:r w:rsidRPr="0019254D">
        <w:rPr>
          <w:i/>
        </w:rPr>
        <w:t>mainstream</w:t>
      </w:r>
      <w:proofErr w:type="spellEnd"/>
      <w:r>
        <w:t>. Le lecteur retrouve ici le même ton, libre et revigorant, la même profondeur d’analyse, et le même souci de ne pas enfermer le discours savant sur l’Europe dans un langage de spécialistes.</w:t>
      </w:r>
    </w:p>
    <w:p w14:paraId="59AD28F9" w14:textId="7E6AA646" w:rsidR="00AB49D9" w:rsidRDefault="00AB49D9" w:rsidP="00AB49D9">
      <w:pPr>
        <w:pStyle w:val="Corps"/>
      </w:pPr>
      <w:r w:rsidRPr="00B11A6E">
        <w:rPr>
          <w:i/>
        </w:rPr>
        <w:t>Quand l’Europe improvise</w:t>
      </w:r>
      <w:r>
        <w:t xml:space="preserve"> analyse les effets que les différentes crises survenues ces dix dernières années – crise de l’euro, annexion de la Crimée par Vladimir Poutine, crise migratoire, </w:t>
      </w:r>
      <w:proofErr w:type="spellStart"/>
      <w:r>
        <w:t>Brexit</w:t>
      </w:r>
      <w:proofErr w:type="spellEnd"/>
      <w:r>
        <w:t xml:space="preserve">, élection de Donald </w:t>
      </w:r>
      <w:proofErr w:type="spellStart"/>
      <w:r>
        <w:t>Trump</w:t>
      </w:r>
      <w:proofErr w:type="spellEnd"/>
      <w:r>
        <w:t xml:space="preserve"> – ont pu exercer sur l’Union européenne, tant sur son fonctionnement institutionnel que sur son identité politique. Le regard de l’auteur est à la fois empathique et lucide. Empathique, car il voit dans ces convulsions autant de révélateurs d’une Europe politique en train de naître. Lucide, car le constat de l’émergence </w:t>
      </w:r>
      <w:r w:rsidRPr="00BF642A">
        <w:rPr>
          <w:i/>
        </w:rPr>
        <w:t>en cours</w:t>
      </w:r>
      <w:r>
        <w:t xml:space="preserve"> d’une force de gouvernement au sein de l’Union s’accompagne d’un diagnostic sans concession sur le chemin </w:t>
      </w:r>
      <w:r w:rsidRPr="00BF642A">
        <w:rPr>
          <w:i/>
        </w:rPr>
        <w:t>encore</w:t>
      </w:r>
      <w:r>
        <w:t xml:space="preserve"> à parcourir dans la quête de cette Europe politique.</w:t>
      </w:r>
    </w:p>
    <w:p w14:paraId="6309CE05" w14:textId="77777777" w:rsidR="00AB49D9" w:rsidRPr="00B11A6E" w:rsidRDefault="00AB49D9" w:rsidP="00AB49D9">
      <w:pPr>
        <w:pStyle w:val="VDIIntertitre"/>
      </w:pPr>
      <w:r>
        <w:lastRenderedPageBreak/>
        <w:t xml:space="preserve">De la </w:t>
      </w:r>
      <w:r w:rsidRPr="00AB19F6">
        <w:rPr>
          <w:i/>
        </w:rPr>
        <w:t>politique de l’événement</w:t>
      </w:r>
      <w:r>
        <w:t xml:space="preserve"> au moment machiavélien</w:t>
      </w:r>
    </w:p>
    <w:p w14:paraId="0A316F6F" w14:textId="77777777" w:rsidR="00AB49D9" w:rsidRDefault="00AB49D9" w:rsidP="00AB49D9">
      <w:pPr>
        <w:pStyle w:val="Corps"/>
      </w:pPr>
      <w:r>
        <w:t xml:space="preserve">L’Europe aurait, depuis 2008, subi une profonde « métamorphose » (25, 245, 356). Grâce à l’énergie créatrice de ses principaux </w:t>
      </w:r>
      <w:r w:rsidRPr="00266565">
        <w:t>leaders</w:t>
      </w:r>
      <w:r>
        <w:t xml:space="preserve">, elle serait entrée dans le flux du temps (323), et aurait acquis une forme d’agilité faisant d’elle un acteur politique à part entière, à même d’appréhender les événements, de faire face à l’imprévu. </w:t>
      </w:r>
      <w:proofErr w:type="spellStart"/>
      <w:r>
        <w:t>Luuk</w:t>
      </w:r>
      <w:proofErr w:type="spellEnd"/>
      <w:r>
        <w:t xml:space="preserve"> van </w:t>
      </w:r>
      <w:proofErr w:type="spellStart"/>
      <w:r>
        <w:t>Middelaar</w:t>
      </w:r>
      <w:proofErr w:type="spellEnd"/>
      <w:r>
        <w:t xml:space="preserve"> n’hésite pas à convoquer le grand penseur de la modernité politique, Machiavel, pour donner à voir l’ampleur de cette transformation existentielle de l’Europe (217-225). Se référant aux analyses de J. G. A. </w:t>
      </w:r>
      <w:proofErr w:type="spellStart"/>
      <w:r>
        <w:t>Pocock</w:t>
      </w:r>
      <w:proofErr w:type="spellEnd"/>
      <w:r>
        <w:t xml:space="preserve"> (180), il qualifie en effet de « machiavélien » (190, 323) ce « moment » critique où l’Union en vient à éprouver son existence politique et à sortir de la conception « </w:t>
      </w:r>
      <w:proofErr w:type="spellStart"/>
      <w:r>
        <w:t>éternaliste</w:t>
      </w:r>
      <w:proofErr w:type="spellEnd"/>
      <w:r>
        <w:t> » qu’elle avait d’elle-même (193, 222). C’est en prenant conscience de sa propre finitude historique, « acculée » par les événements (321), qu’elle se révèle en sujet politique digne de ce nom, apte à faire face à l’inconnu, à se risquer hors des sentiers balisés par les règles établies.</w:t>
      </w:r>
    </w:p>
    <w:p w14:paraId="258CB218" w14:textId="77777777" w:rsidR="00AB49D9" w:rsidRDefault="00AB49D9" w:rsidP="00AB49D9">
      <w:pPr>
        <w:pStyle w:val="Corps"/>
      </w:pPr>
      <w:r>
        <w:t xml:space="preserve">L’Europe serait ainsi sortie de son enfermement dans la « politique de la règle » pour s’aventurer vers une « politique de l’événement » (24-30). Telle est la grille de lecture qui parcourt l’ouvrage de bout en bout, donnant à voir tout le contraste séparant la Communauté de l’Union, l’Europe née en 1951 de celle refondée en 1992 (245-254). Il ne s’agit plus seulement, pour l’Europe, d’appliquer des règles ou de conduire des politiques communes aux fins d’édifier un marché intérieur : </w:t>
      </w:r>
      <w:r w:rsidRPr="00FB4BD2">
        <w:rPr>
          <w:i/>
        </w:rPr>
        <w:t>la Communauté</w:t>
      </w:r>
      <w:r>
        <w:t xml:space="preserve">. Il s’agit aussi d’accueillir le flot des événements pour, si possible, en réorienter le cours : </w:t>
      </w:r>
      <w:r w:rsidRPr="00FB4BD2">
        <w:rPr>
          <w:i/>
        </w:rPr>
        <w:t>l’Union</w:t>
      </w:r>
      <w:r>
        <w:t>.</w:t>
      </w:r>
    </w:p>
    <w:p w14:paraId="05F2B947" w14:textId="71C71B2E" w:rsidR="00AB49D9" w:rsidRDefault="00AB49D9" w:rsidP="00AB49D9">
      <w:pPr>
        <w:pStyle w:val="Corps"/>
      </w:pPr>
      <w:r>
        <w:t xml:space="preserve">Reposant sur une information impressionnante (plume de l’ancien président du Conseil européen Herman Van </w:t>
      </w:r>
      <w:proofErr w:type="spellStart"/>
      <w:r>
        <w:t>Rompuy</w:t>
      </w:r>
      <w:proofErr w:type="spellEnd"/>
      <w:r>
        <w:t xml:space="preserve">, l’auteur a pu vivre ces soubresauts de l’intérieur), la restitution méthodique et détaillée des faits occupe toute la première partie de l’ouvrage (37-216) et permet un regard dûment circonstancié sur le matériau analysé. De ce tour d’horizon, </w:t>
      </w: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tire une conclusion importante : dès lors que sa survie est en jeu, l’Union sait sortir de sa zone de confort – la politique de la règle – et dépasser les intérêts purement économiques (15, 128, 214). C’est alors que la politique reprend le dessus (33). Une phrase prononcée par Angela Merkel en 2017 revient comme un leitmotiv sous la plume de l’auteur pour caractériser cette métamorphose : « il est temps de prendre en main notre destin en tant qu’Européens » (203, 223, 323).</w:t>
      </w:r>
    </w:p>
    <w:p w14:paraId="4BBA88BF" w14:textId="77777777" w:rsidR="00AB49D9" w:rsidRPr="00A6112C" w:rsidRDefault="00AB49D9" w:rsidP="00AB49D9">
      <w:pPr>
        <w:pStyle w:val="VDIIntertitre"/>
      </w:pPr>
      <w:r>
        <w:lastRenderedPageBreak/>
        <w:t>Les États membres réunis ou le retour du refoulé politique</w:t>
      </w:r>
    </w:p>
    <w:p w14:paraId="4E1CEAD1" w14:textId="77777777" w:rsidR="00AB49D9" w:rsidRDefault="00AB49D9" w:rsidP="00AB49D9">
      <w:pPr>
        <w:pStyle w:val="Corps"/>
      </w:pPr>
      <w:r>
        <w:t xml:space="preserve">La politique de la règle a conduit à un refoulement du politique, une dépolitisation à la fois technique et procédurale (333-340, 359-365) qui a enserré la décision dans le double étau du formalisme et de l’expertise. La politique de l’événement, doit-on comprendre, ne serait finalement que l’expression d’un retour du refoulé politique se traduisant institutionnellement par la montée en puissance du Conseil européen, la réunion au sommet des chefs d’État et de gouvernement des États membres. Pour démontrer comment ce chef d’État à plusieurs têtes (275) s’est imposé comme le centre d’impulsion politique de l’Union, </w:t>
      </w: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s’attache à reconstituer le paysage institutionnel d’ensemble, dans lequel il a peu à peu émergé et les obstacles qu’il a dû surmonter. Si, à la faveur des crises, le Conseil européen a réussi à se hisser au rang d’une force de gouvernement de l’Union, c’est finalement parce qu’il permet de réunir une autorité politique inégalée à l’échelle de l’Europe (252).</w:t>
      </w:r>
    </w:p>
    <w:p w14:paraId="46692F30" w14:textId="77777777" w:rsidR="00AB49D9" w:rsidRDefault="00AB49D9" w:rsidP="00AB49D9">
      <w:pPr>
        <w:pStyle w:val="Corps"/>
      </w:pPr>
      <w:r>
        <w:t xml:space="preserve">La Commission a de </w:t>
      </w:r>
      <w:proofErr w:type="gramStart"/>
      <w:r>
        <w:t>longue date prétendu</w:t>
      </w:r>
      <w:proofErr w:type="gramEnd"/>
      <w:r>
        <w:t xml:space="preserve"> à cette fonction de gouvernement mais le schéma institutionnel – « fédéral » dit l’auteur – qui lui servait de véhicule implicite s’est heurté au mur des réalités politiques. Non, la Commission n’est pas devenue l’instance gouvernementale de l’Union. Cette « promesse » ne s’est pas réalisée, en grande partie parce que la Commission ne dispose pas de la légitimité suffisante pour remplir une telle fonction. Qu’il suffise ici de mentionner le « fiasco » des quotas d’asile que Bruxelles a voulu imposer aux États membres pour répondre à la crise des migrants (151, 155, 315). L’exercice de tâches exécutives et administratives de haute importance ne suffit pas à faire de la Commission un gouvernement au sens propre (263, 303, 310). Quant au Parlement européen, il a été littéralement « aspiré dans la sphère </w:t>
      </w:r>
      <w:r w:rsidRPr="00D75688">
        <w:rPr>
          <w:i/>
        </w:rPr>
        <w:t>interne</w:t>
      </w:r>
      <w:r>
        <w:t xml:space="preserve"> bruxelloise » (336), la politique de la règle et son registre enfermant de l’expertise. Aussi, pour mener la politique de l’événement, improviser, décider et agir dans les situations d’urgence, seul le Conseil européen, niveau ultime de la « sphère </w:t>
      </w:r>
      <w:r w:rsidRPr="00D75688">
        <w:rPr>
          <w:i/>
        </w:rPr>
        <w:t>intermédiaire</w:t>
      </w:r>
      <w:r>
        <w:t xml:space="preserve"> des États réunis » (52), serait vraiment armé.</w:t>
      </w:r>
    </w:p>
    <w:p w14:paraId="6DA90BAF" w14:textId="3A0BCD13" w:rsidR="00AB49D9" w:rsidRDefault="00AB49D9" w:rsidP="00AB49D9">
      <w:pPr>
        <w:pStyle w:val="Corps"/>
      </w:pPr>
      <w:r>
        <w:t xml:space="preserve">À rebours des grilles de lecture binaires qui opposent supranationalisme et </w:t>
      </w:r>
      <w:proofErr w:type="spellStart"/>
      <w:r>
        <w:t>intergouvernementalisme</w:t>
      </w:r>
      <w:proofErr w:type="spellEnd"/>
      <w:r>
        <w:t xml:space="preserve">, </w:t>
      </w: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souligne la coexistence, en tension, de trois projets de construction distincts (24, 357) : la politique de la règle portée par la Commission, la Cour de justice et la Banque centrale européenne ; le projet de </w:t>
      </w:r>
      <w:proofErr w:type="spellStart"/>
      <w:r>
        <w:t>parlementarisation</w:t>
      </w:r>
      <w:proofErr w:type="spellEnd"/>
      <w:r>
        <w:t xml:space="preserve"> principalement porté par le Parlement européen ; et le projet de politisation exécutive porté par le Conseil européen, qui retient prioritairement l’attention de l’auteur. C’est ici que des métaphores architecturale et musicologique </w:t>
      </w:r>
      <w:r>
        <w:lastRenderedPageBreak/>
        <w:t>viennent très à propos imager la démonstration. D’une part, les différents projets de construction coexistent, comme souvent les styles architecturaux dans un même bâtiment (19, 24). D’autre part, l’improvisation, comme en jazz, consiste en des variations autour d’une même trame initiale (41, 173). Et dans cette trame initiale, n’en déplaise à l’auteur, figure vraisemblablement le thème fédéral, qu’il</w:t>
      </w:r>
      <w:r w:rsidRPr="003D571B">
        <w:t xml:space="preserve"> </w:t>
      </w:r>
      <w:r>
        <w:t>a peut-être tort d’</w:t>
      </w:r>
      <w:r w:rsidRPr="003D571B">
        <w:t xml:space="preserve">associer </w:t>
      </w:r>
      <w:r>
        <w:t>terme à terme</w:t>
      </w:r>
      <w:r w:rsidRPr="003D571B">
        <w:t xml:space="preserve"> au schéma supranational </w:t>
      </w:r>
      <w:r>
        <w:t>de</w:t>
      </w:r>
      <w:r w:rsidRPr="003D571B">
        <w:t xml:space="preserve"> </w:t>
      </w:r>
      <w:r>
        <w:t>l’</w:t>
      </w:r>
      <w:r w:rsidRPr="003D571B">
        <w:t>État fédéral</w:t>
      </w:r>
      <w:r>
        <w:t>.</w:t>
      </w:r>
    </w:p>
    <w:p w14:paraId="09323449" w14:textId="77777777" w:rsidR="00AB49D9" w:rsidRPr="00B11A6E" w:rsidRDefault="00AB49D9" w:rsidP="00AB49D9">
      <w:pPr>
        <w:pStyle w:val="VDIIntertitre"/>
      </w:pPr>
      <w:r>
        <w:t xml:space="preserve">La </w:t>
      </w:r>
      <w:r w:rsidRPr="00AB19F6">
        <w:rPr>
          <w:i/>
        </w:rPr>
        <w:t>visibilité</w:t>
      </w:r>
      <w:r w:rsidRPr="00B11A6E">
        <w:t xml:space="preserve"> </w:t>
      </w:r>
      <w:r>
        <w:t>institutionnelle du directoire exécutif</w:t>
      </w:r>
    </w:p>
    <w:p w14:paraId="660C83CC" w14:textId="77777777" w:rsidR="00AB49D9" w:rsidRDefault="00AB49D9" w:rsidP="00AB49D9">
      <w:pPr>
        <w:pStyle w:val="Corps"/>
      </w:pP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y insiste donc, la politique de la règle ne disparaît pas : l’Europe ne passe pas d’une politique de la règle à une politique de l’événement, de la Communauté à l’Union (19, 25, 231, 245, 356). Les </w:t>
      </w:r>
      <w:r w:rsidRPr="00AB0138">
        <w:t>deux cohabitent – de même que les trois projets coexistent – mais la place désormais prise par l’Union donne u</w:t>
      </w:r>
      <w:r>
        <w:t>ne</w:t>
      </w:r>
      <w:r w:rsidRPr="00AB0138">
        <w:t xml:space="preserve"> coloration</w:t>
      </w:r>
      <w:r>
        <w:t xml:space="preserve"> nouvelle</w:t>
      </w:r>
      <w:r w:rsidRPr="00AB0138">
        <w:t xml:space="preserve"> à l’Europe</w:t>
      </w:r>
      <w:r>
        <w:t xml:space="preserve"> en tant qu</w:t>
      </w:r>
      <w:proofErr w:type="gramStart"/>
      <w:r>
        <w:t>’«</w:t>
      </w:r>
      <w:proofErr w:type="gramEnd"/>
      <w:r>
        <w:t> </w:t>
      </w:r>
      <w:r w:rsidRPr="00AB0138">
        <w:t>union d’États au pluriel » (371)</w:t>
      </w:r>
      <w:r>
        <w:t>. Si la démonstration ne manque pas de force, elle ne nous explique pas en quoi la politique de l’événement serait de nature à</w:t>
      </w:r>
      <w:r w:rsidRPr="00426FC1">
        <w:t xml:space="preserve"> recouvrir l’ensemble de l’édifice pour lui donner son unité</w:t>
      </w:r>
      <w:r>
        <w:t xml:space="preserve"> ; en </w:t>
      </w:r>
      <w:r w:rsidRPr="003240A7">
        <w:t xml:space="preserve">quoi, par exemple, l’interprétation dogmatique des libertés économiques défendues par la Commission et la Cour de justice </w:t>
      </w:r>
      <w:r>
        <w:t xml:space="preserve">ne définirait pas davantage l’Union </w:t>
      </w:r>
      <w:r w:rsidRPr="003240A7">
        <w:t xml:space="preserve">que </w:t>
      </w:r>
      <w:r>
        <w:t xml:space="preserve">cette </w:t>
      </w:r>
      <w:r w:rsidRPr="003240A7">
        <w:t>visibilité</w:t>
      </w:r>
      <w:r>
        <w:t xml:space="preserve"> nouvelle du</w:t>
      </w:r>
      <w:r w:rsidRPr="003240A7">
        <w:t xml:space="preserve"> Conseil européen,</w:t>
      </w:r>
      <w:r w:rsidRPr="00C9016B">
        <w:t xml:space="preserve"> </w:t>
      </w:r>
      <w:r>
        <w:t xml:space="preserve">ce </w:t>
      </w:r>
      <w:r w:rsidRPr="00C9016B">
        <w:t xml:space="preserve">« président collectif » (310) </w:t>
      </w:r>
      <w:r>
        <w:t>qui se contente</w:t>
      </w:r>
      <w:r w:rsidRPr="00C9016B">
        <w:t xml:space="preserve"> en définitive de</w:t>
      </w:r>
      <w:r w:rsidRPr="00426FC1">
        <w:t xml:space="preserve"> colmater des brèches sous</w:t>
      </w:r>
      <w:r>
        <w:t xml:space="preserve"> le regard inquiet des marchés.</w:t>
      </w:r>
    </w:p>
    <w:p w14:paraId="09291A8E" w14:textId="77777777" w:rsidR="00AB49D9" w:rsidRDefault="00AB49D9" w:rsidP="00AB49D9">
      <w:pPr>
        <w:pStyle w:val="Corps"/>
      </w:pPr>
      <w:r w:rsidRPr="00426FC1">
        <w:t>Pour les besoins bien compréhensibles de s</w:t>
      </w:r>
      <w:r>
        <w:t xml:space="preserve">on propos, </w:t>
      </w: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w:t>
      </w:r>
      <w:r w:rsidRPr="00426FC1">
        <w:t>tend à</w:t>
      </w:r>
      <w:r>
        <w:t xml:space="preserve"> dramatiser l’opposition entre, d’un côté, le droit et l’économie, respectivement réduits à la norme et au marché, et, de l’autre, le politique, réduit à la décision et, plus encore,</w:t>
      </w:r>
      <w:r w:rsidRPr="003A2FF6">
        <w:t xml:space="preserve"> à la décision en situation d’exception. Mais</w:t>
      </w:r>
      <w:r>
        <w:t xml:space="preserve">, mises à part sa référence un peu lointaine à Machiavel et quelques </w:t>
      </w:r>
      <w:r w:rsidRPr="003A2FF6">
        <w:t xml:space="preserve">pages </w:t>
      </w:r>
      <w:r>
        <w:t xml:space="preserve">très </w:t>
      </w:r>
      <w:r w:rsidRPr="003A2FF6">
        <w:t xml:space="preserve">profondes </w:t>
      </w:r>
      <w:r>
        <w:t>sur l</w:t>
      </w:r>
      <w:r w:rsidRPr="003A2FF6">
        <w:t xml:space="preserve">es différences </w:t>
      </w:r>
      <w:r>
        <w:t>culturelles qui séparent à cet égard les deux rives du Rhin (</w:t>
      </w:r>
      <w:r w:rsidRPr="003A2FF6">
        <w:t>231-237, 403)</w:t>
      </w:r>
      <w:r>
        <w:t>,</w:t>
      </w:r>
      <w:r w:rsidRPr="003A2FF6">
        <w:t xml:space="preserve"> il </w:t>
      </w:r>
      <w:r>
        <w:t xml:space="preserve">n’interroge pas la définition du politique qu’il met ainsi en œuvre. Le politique, dans une veine finalement très </w:t>
      </w:r>
      <w:proofErr w:type="spellStart"/>
      <w:r>
        <w:t>schmittienne</w:t>
      </w:r>
      <w:proofErr w:type="spellEnd"/>
      <w:r>
        <w:t xml:space="preserve"> (175), est plus ou moins assimilé à la visibilité institutionnelle – catho</w:t>
      </w:r>
      <w:r w:rsidRPr="00DC78E9">
        <w:t>d</w:t>
      </w:r>
      <w:r>
        <w:t>ique – du Conseil européen (283-288). À tel point que la question se pose de savoir si cette mise en scène à succès, qui attire les écrans et produit tant d’images frappantes, n’entretient pas un profond malentendu sur le lien supposé se tisser avec le public. Intéresse-t-elle vraiment les Européens ? Ne les réduit-elle pas, toujours et encore, au rang de spectateurs passifs ?</w:t>
      </w:r>
    </w:p>
    <w:p w14:paraId="08EC6D37" w14:textId="77777777" w:rsidR="00AB49D9" w:rsidRDefault="00AB49D9" w:rsidP="00AB49D9">
      <w:pPr>
        <w:pStyle w:val="Corps"/>
      </w:pPr>
      <w:proofErr w:type="spellStart"/>
      <w:r w:rsidRPr="00B11A6E">
        <w:lastRenderedPageBreak/>
        <w:t>Luuk</w:t>
      </w:r>
      <w:proofErr w:type="spellEnd"/>
      <w:r w:rsidRPr="00B11A6E">
        <w:t xml:space="preserve"> </w:t>
      </w:r>
      <w:r w:rsidRPr="003A6DE5">
        <w:t xml:space="preserve">van </w:t>
      </w:r>
      <w:proofErr w:type="spellStart"/>
      <w:r w:rsidRPr="003A6DE5">
        <w:t>Middelaar</w:t>
      </w:r>
      <w:proofErr w:type="spellEnd"/>
      <w:r>
        <w:t xml:space="preserve"> en convient lui-même, le politique ne se réduit pas à la gestion de crise (321), il n’en balaie pas moins un peu vite les critiques (345, 339), qui ont à juste titre souligné la dérive post-démocratique de l’Union</w:t>
      </w:r>
      <w:r>
        <w:rPr>
          <w:rStyle w:val="Appelnotedebasdep"/>
          <w:rFonts w:ascii="Times New Roman" w:hAnsi="Times New Roman" w:cs="Times New Roman"/>
        </w:rPr>
        <w:footnoteReference w:id="2"/>
      </w:r>
      <w:r>
        <w:t> : le Conseil européen dispose évidemment d’une légitimité démocratique indéniable, mais le pouvoir de gouvernement qu’il exerce en tant que directoire exécutif devrait logiquement trouver un débou</w:t>
      </w:r>
      <w:r w:rsidRPr="002B7863">
        <w:t>ché en termes de responsabilité politique devant le Parlement européen (367-369)</w:t>
      </w:r>
      <w:r>
        <w:t xml:space="preserve"> – sauf à s’obstiner dans la voie d’un absolutisme directorial (380)</w:t>
      </w:r>
      <w:r w:rsidRPr="002B7863">
        <w:t>. Tout à son</w:t>
      </w:r>
      <w:r>
        <w:t xml:space="preserve"> souci de décrire avec précision comment l’Europe vient à l’existence politique par la voix de ses États membres réunis, et non par les institutions classiques de la politique de la règle, l’auteur s’en remet de fait à une conception un peu rudimentaire de la politique. Peut-être est-ce là le prix à payer pour accueillir avec empathie les évolutions en cours, en attendant mieux, sans décourager l’avenir.</w:t>
      </w:r>
    </w:p>
    <w:p w14:paraId="6F77D237" w14:textId="15E6C802" w:rsidR="00AB49D9" w:rsidRPr="002E769F" w:rsidRDefault="00AB49D9" w:rsidP="002E769F">
      <w:pPr>
        <w:pStyle w:val="Corps"/>
      </w:pPr>
      <w:r>
        <w:t>On l’aura compris,</w:t>
      </w:r>
      <w:r w:rsidRPr="00965058">
        <w:t xml:space="preserve"> la cure de réalisme politique proposée par </w:t>
      </w:r>
      <w:proofErr w:type="spellStart"/>
      <w:r w:rsidRPr="00B11A6E">
        <w:t>Luuk</w:t>
      </w:r>
      <w:proofErr w:type="spellEnd"/>
      <w:r w:rsidRPr="00B11A6E">
        <w:t xml:space="preserve"> </w:t>
      </w:r>
      <w:r w:rsidRPr="003A6DE5">
        <w:t xml:space="preserve">van </w:t>
      </w:r>
      <w:proofErr w:type="spellStart"/>
      <w:r w:rsidRPr="003A6DE5">
        <w:t>Middelaar</w:t>
      </w:r>
      <w:proofErr w:type="spellEnd"/>
      <w:r w:rsidRPr="00965058">
        <w:t xml:space="preserve"> </w:t>
      </w:r>
      <w:r>
        <w:t>recèle ses propres limites</w:t>
      </w:r>
      <w:r w:rsidRPr="00965058">
        <w:t>. La principale d’entre elles</w:t>
      </w:r>
      <w:r>
        <w:t>, corollaire immédiat de la pente exécutive qui vient d’être décrite, réside dans</w:t>
      </w:r>
      <w:r w:rsidRPr="00965058">
        <w:t xml:space="preserve"> </w:t>
      </w:r>
      <w:r>
        <w:t>la dérive hégémonique susceptible de dénaturer l’Union</w:t>
      </w:r>
      <w:r w:rsidRPr="00965058">
        <w:t>. Le tabou de l’éga</w:t>
      </w:r>
      <w:r>
        <w:t>lité entre États membres, toujours</w:t>
      </w:r>
      <w:r w:rsidRPr="00965058">
        <w:t xml:space="preserve"> de mise dans le cadre de la politique de la règle (243, 253)</w:t>
      </w:r>
      <w:r>
        <w:t>,</w:t>
      </w:r>
      <w:r w:rsidRPr="00965058">
        <w:t xml:space="preserve"> laisse</w:t>
      </w:r>
      <w:r>
        <w:t xml:space="preserve"> en effet</w:t>
      </w:r>
      <w:r w:rsidRPr="00965058">
        <w:t xml:space="preserve"> </w:t>
      </w:r>
      <w:r>
        <w:t>le champ libre aux asymétries</w:t>
      </w:r>
      <w:r w:rsidRPr="00965058">
        <w:t xml:space="preserve"> de puissance </w:t>
      </w:r>
      <w:r>
        <w:t>dès lors que l’on pénètre</w:t>
      </w:r>
      <w:r w:rsidRPr="00965058">
        <w:t xml:space="preserve"> </w:t>
      </w:r>
      <w:r>
        <w:t xml:space="preserve">sur le terrain de </w:t>
      </w:r>
      <w:r w:rsidRPr="00965058">
        <w:t>la politique de l’événement. L’Union européenne</w:t>
      </w:r>
      <w:r>
        <w:t>, qui est pourtant censée avoir quitté le registre traditionnel de la diplomatie interétatique,</w:t>
      </w:r>
      <w:r w:rsidRPr="00965058">
        <w:t xml:space="preserve"> ne reproduit-elle pas ici</w:t>
      </w:r>
      <w:r>
        <w:t>,</w:t>
      </w:r>
      <w:r w:rsidRPr="00965058">
        <w:t xml:space="preserve"> à l’échelle régionale</w:t>
      </w:r>
      <w:r>
        <w:t>,</w:t>
      </w:r>
      <w:r w:rsidRPr="00965058">
        <w:t xml:space="preserve"> les travers de la politique mondiale ?</w:t>
      </w:r>
      <w:r>
        <w:t xml:space="preserve"> Là encore, c</w:t>
      </w:r>
      <w:r w:rsidRPr="00965058">
        <w:t>ette tendance est peut-être inéluctable, au moins à titre temporaire,</w:t>
      </w:r>
      <w:r>
        <w:t xml:space="preserve"> mais elle suscite nombre de questions</w:t>
      </w:r>
      <w:r w:rsidRPr="00965058">
        <w:t xml:space="preserve">. </w:t>
      </w:r>
      <w:r>
        <w:t>Il convient par exemple de se demander</w:t>
      </w:r>
      <w:r w:rsidRPr="00965058">
        <w:t xml:space="preserve"> en quoi le désir légitime de « souveraineté européenne » (200, 323, 399) pour</w:t>
      </w:r>
      <w:r>
        <w:t>rait</w:t>
      </w:r>
      <w:r w:rsidRPr="00965058">
        <w:t xml:space="preserve"> constituer un rempart efficace face à la </w:t>
      </w:r>
      <w:r>
        <w:t>prépondérance</w:t>
      </w:r>
      <w:r w:rsidRPr="00965058">
        <w:t xml:space="preserve"> allemande telle qu’elle s’exprime </w:t>
      </w:r>
      <w:r>
        <w:t xml:space="preserve">depuis la chute du Mur </w:t>
      </w:r>
      <w:r w:rsidRPr="00965058">
        <w:t>sur fond de puissance économique et monétaire</w:t>
      </w:r>
      <w:r>
        <w:t>.</w:t>
      </w:r>
    </w:p>
    <w:p w14:paraId="62C87D64" w14:textId="77777777" w:rsidR="00AB49D9" w:rsidRPr="00CF2D56" w:rsidRDefault="00AB49D9" w:rsidP="002E769F">
      <w:pPr>
        <w:pStyle w:val="VDIIntertitre"/>
      </w:pPr>
      <w:r>
        <w:t xml:space="preserve">Entre </w:t>
      </w:r>
      <w:r w:rsidRPr="00AB19F6">
        <w:rPr>
          <w:i/>
        </w:rPr>
        <w:t>illisibilité</w:t>
      </w:r>
      <w:r w:rsidRPr="00CF2D56">
        <w:t xml:space="preserve"> démocratique</w:t>
      </w:r>
      <w:r>
        <w:t xml:space="preserve"> et politisation négative</w:t>
      </w:r>
    </w:p>
    <w:p w14:paraId="407F5772" w14:textId="77777777" w:rsidR="00AB49D9" w:rsidRDefault="00AB49D9" w:rsidP="00AB49D9">
      <w:pPr>
        <w:pStyle w:val="Corps"/>
      </w:pPr>
      <w:r>
        <w:t>Plus la visibilité institutionnelle progresse, plus la demande de lisibilité se fait ressentir. Ainsi pouvons-nous comprendre la dialectique analysée dans la seconde partie de l’ouvrage. Il ressort de sa lecture un sentiment de découragement qui tranche avec l’optimisme pourtant lucide de l’auteur. Car la</w:t>
      </w:r>
      <w:r w:rsidRPr="00AB0138">
        <w:t xml:space="preserve"> visibilité accrue </w:t>
      </w:r>
      <w:r>
        <w:t xml:space="preserve">de l’Europe </w:t>
      </w:r>
      <w:r w:rsidRPr="00AB0138">
        <w:lastRenderedPageBreak/>
        <w:t xml:space="preserve">s’accompagne d’une illisibilité persistante </w:t>
      </w:r>
      <w:r>
        <w:t xml:space="preserve">de son fonctionnement institutionnel </w:t>
      </w:r>
      <w:r w:rsidRPr="00AB0138">
        <w:t>qui rend</w:t>
      </w:r>
      <w:r>
        <w:t xml:space="preserve"> difficile, si ce n’est impossible, le jeu normal de la responsabilité politique.</w:t>
      </w:r>
    </w:p>
    <w:p w14:paraId="704A7C64" w14:textId="77777777" w:rsidR="00AB49D9" w:rsidRDefault="00AB49D9" w:rsidP="00AB49D9">
      <w:pPr>
        <w:pStyle w:val="Corps"/>
      </w:pPr>
      <w:r>
        <w:t xml:space="preserve">Il y a tout lieu, en particulier, de douter que la dépolitisation multiforme qui affecte la construction européenne depuis ses origines puisse trouver son point d’arrêt dans la politisation par le Conseil européen. Non seulement la politique de l’événement renvoie finalement à une conception assez pauvre de la politique, mais elle connaît elle-même sa propre dépolitisation, ce que l’auteur appelle la « dépolitisation </w:t>
      </w:r>
      <w:r w:rsidRPr="00357DDE">
        <w:rPr>
          <w:i/>
        </w:rPr>
        <w:t>exécutive</w:t>
      </w:r>
      <w:r>
        <w:t> » (354, 373). Décider en situation d’urgence conduit le plus souvent à couper court à tout débat et à présenter les choix politiques opérés comme des solutions sans alternative à des problèmes sinon insolubles (345). Aussi reproduit-on le travers fondamental de la construction européenne : l’Europe continue d’apparaître comme une contrainte, peu différenciée de la mondialisation, et non comme un projet politique conscient voulu comme tel. Peut-on d’ailleurs vouloir ce qui se présente comme sans alternative possible ?</w:t>
      </w:r>
    </w:p>
    <w:p w14:paraId="7492E935" w14:textId="77777777" w:rsidR="00AB49D9" w:rsidRDefault="00AB49D9" w:rsidP="00AB49D9">
      <w:pPr>
        <w:pStyle w:val="Corps"/>
      </w:pPr>
      <w:r>
        <w:t xml:space="preserve">Le moment machiavélien, s’il a bien été enclenché, est donc très loin d’avoir atteint son terme (323). </w:t>
      </w: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en a parfaitement conscience : il ne manque pas de signaler le long chemin encore à parcourir et les deux principaux obstacles qui demandent, selon lui, à être surmontés : le fonctionnement non majoritaire de la vie politique européenne (empêchant de </w:t>
      </w:r>
      <w:r w:rsidRPr="006A762F">
        <w:t>mettre en minorité le pouvoir en place</w:t>
      </w:r>
      <w:r>
        <w:t>),</w:t>
      </w:r>
      <w:r w:rsidRPr="006A762F">
        <w:t xml:space="preserve"> l’absence concomitante d’une opposition structurée et</w:t>
      </w:r>
      <w:r>
        <w:t xml:space="preserve"> constructive. Sans ces deux conquêtes, doit-on comprendre, qui appellent </w:t>
      </w:r>
      <w:r w:rsidRPr="00F87A35">
        <w:t xml:space="preserve">la nécessaire « entrée en scène de l’opposition » (325-396), </w:t>
      </w:r>
      <w:r>
        <w:t>le Conseil européen ne pourra</w:t>
      </w:r>
      <w:r w:rsidRPr="00F87A35">
        <w:t xml:space="preserve"> deve</w:t>
      </w:r>
      <w:r>
        <w:t>nir un véritable gouvernement et le Parlement une véritable enceinte délibérative de contrôle démocratique.</w:t>
      </w:r>
    </w:p>
    <w:p w14:paraId="43099136" w14:textId="77777777" w:rsidR="00AB49D9" w:rsidRPr="006A762F" w:rsidRDefault="00AB49D9" w:rsidP="00AB49D9">
      <w:pPr>
        <w:pStyle w:val="Corps"/>
      </w:pPr>
      <w:r>
        <w:t>Les forces d’opposition existent évidemment à l’échelle de l’Union mais, reléguées aux marges du paysage politique par des partis cartellisés qui se partagent le pouvoir à Bruxelles et à Strasbourg</w:t>
      </w:r>
      <w:r>
        <w:rPr>
          <w:rStyle w:val="Appelnotedebasdep"/>
          <w:rFonts w:ascii="Times New Roman" w:hAnsi="Times New Roman" w:cs="Times New Roman"/>
        </w:rPr>
        <w:footnoteReference w:id="3"/>
      </w:r>
      <w:r>
        <w:t>, elles nourrissent une forme de rejet viscéral de l’Europe telle qu’elle va. R</w:t>
      </w:r>
      <w:r w:rsidRPr="006A762F">
        <w:t>emet</w:t>
      </w:r>
      <w:r>
        <w:t>ta</w:t>
      </w:r>
      <w:r w:rsidRPr="006A762F">
        <w:t>nt en cause non pas seulement le gouvernement et sa politique</w:t>
      </w:r>
      <w:r w:rsidRPr="00613ACB">
        <w:t>, mais aussi la légitimité de l’ordre politique dans son ensemble</w:t>
      </w:r>
      <w:r>
        <w:t xml:space="preserve">, elles </w:t>
      </w:r>
      <w:r w:rsidRPr="006A762F">
        <w:t>alimentent ce que Peter Mair a appelé une « opposition de principe »</w:t>
      </w:r>
      <w:r>
        <w:t xml:space="preserve"> (328). Or la démocratie e</w:t>
      </w:r>
      <w:r w:rsidRPr="00613ACB">
        <w:t>urop</w:t>
      </w:r>
      <w:r>
        <w:t>é</w:t>
      </w:r>
      <w:r w:rsidRPr="00613ACB">
        <w:t>e</w:t>
      </w:r>
      <w:r>
        <w:t>nne</w:t>
      </w:r>
      <w:r w:rsidRPr="00613ACB">
        <w:t xml:space="preserve"> a</w:t>
      </w:r>
      <w:r>
        <w:t xml:space="preserve"> vitalement</w:t>
      </w:r>
      <w:r w:rsidRPr="00613ACB">
        <w:t xml:space="preserve"> besoin d’une </w:t>
      </w:r>
      <w:r>
        <w:t>« </w:t>
      </w:r>
      <w:r w:rsidRPr="00613ACB">
        <w:t>opposition classique</w:t>
      </w:r>
      <w:r>
        <w:t> »</w:t>
      </w:r>
      <w:r w:rsidRPr="00613ACB">
        <w:t>, d’une i</w:t>
      </w:r>
      <w:r>
        <w:t>nstitutionnalisation du conflit capable d’engendrer une politisation positive</w:t>
      </w:r>
      <w:r w:rsidRPr="00613ACB">
        <w:t xml:space="preserve">. </w:t>
      </w:r>
      <w:r>
        <w:t>N’est-ce pas f</w:t>
      </w:r>
      <w:r w:rsidRPr="00613ACB">
        <w:t>aute de laisser</w:t>
      </w:r>
      <w:r>
        <w:t xml:space="preserve"> s’exprimer</w:t>
      </w:r>
      <w:r w:rsidRPr="00613ACB">
        <w:t xml:space="preserve"> les </w:t>
      </w:r>
      <w:r>
        <w:t>contradictions légitimes que</w:t>
      </w:r>
      <w:r w:rsidRPr="00613ACB">
        <w:t xml:space="preserve"> des oppositions de </w:t>
      </w:r>
      <w:r w:rsidRPr="00613ACB">
        <w:lastRenderedPageBreak/>
        <w:t>principe s</w:t>
      </w:r>
      <w:r>
        <w:t>urgissent de toutes parts (352) ?</w:t>
      </w:r>
      <w:r w:rsidRPr="00613ACB">
        <w:t xml:space="preserve"> Telle est la grande leçon du</w:t>
      </w:r>
      <w:r>
        <w:t xml:space="preserve"> </w:t>
      </w:r>
      <w:proofErr w:type="spellStart"/>
      <w:r>
        <w:t>Brexit</w:t>
      </w:r>
      <w:proofErr w:type="spellEnd"/>
      <w:r>
        <w:t> : renoncer à la croyance dans l’irréversibilité de l’intégration et assumer les dissensions internes, seule voie d’accès possible à l’unité politique (356). Rien de plus machiavélien.</w:t>
      </w:r>
    </w:p>
    <w:p w14:paraId="6114A14D" w14:textId="50261590" w:rsidR="00AB49D9" w:rsidRPr="00F16F03" w:rsidRDefault="00AB49D9" w:rsidP="00AB49D9">
      <w:pPr>
        <w:pStyle w:val="Corps"/>
      </w:pPr>
      <w:r>
        <w:t xml:space="preserve">Prendre cette leçon au sérieux, nous dit </w:t>
      </w: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supposerait de lutter contre une forme de dépolitisation plus profonde encore que la dépolitisation technique et procédurale. Il y aurait à lutter, d’une part, contre la </w:t>
      </w:r>
      <w:r w:rsidRPr="000570E1">
        <w:t>dépolitisation constitutionnelle</w:t>
      </w:r>
      <w:r>
        <w:t xml:space="preserve">, récemment analysée par </w:t>
      </w:r>
      <w:r w:rsidRPr="000570E1">
        <w:t>Dieter Grimm</w:t>
      </w:r>
      <w:r>
        <w:t xml:space="preserve"> </w:t>
      </w:r>
      <w:r w:rsidRPr="000570E1">
        <w:t>(334, 360)</w:t>
      </w:r>
      <w:r>
        <w:rPr>
          <w:rStyle w:val="Appelnotedebasdep"/>
          <w:rFonts w:ascii="Times New Roman" w:hAnsi="Times New Roman" w:cs="Times New Roman"/>
        </w:rPr>
        <w:footnoteReference w:id="4"/>
      </w:r>
      <w:r w:rsidRPr="000570E1">
        <w:t xml:space="preserve">, </w:t>
      </w:r>
      <w:r>
        <w:t xml:space="preserve">à savoir </w:t>
      </w:r>
      <w:r w:rsidRPr="000570E1">
        <w:t>l’</w:t>
      </w:r>
      <w:r>
        <w:t>immunisation juridique des</w:t>
      </w:r>
      <w:r w:rsidRPr="000570E1">
        <w:t xml:space="preserve"> choix</w:t>
      </w:r>
      <w:r>
        <w:t xml:space="preserve"> politiques</w:t>
      </w:r>
      <w:r w:rsidRPr="000570E1">
        <w:t xml:space="preserve"> fondamentaux</w:t>
      </w:r>
      <w:r>
        <w:t xml:space="preserve">, ainsi placés hors d’atteinte de toute discussion publique. Il y aurait, d’autre part, à lutter contre la </w:t>
      </w:r>
      <w:r w:rsidRPr="000570E1">
        <w:t xml:space="preserve">dépolitisation téléologique, </w:t>
      </w:r>
      <w:r>
        <w:t xml:space="preserve">à savoir </w:t>
      </w:r>
      <w:r w:rsidRPr="000570E1">
        <w:t xml:space="preserve">l’enfermement religieux dont a </w:t>
      </w:r>
      <w:r>
        <w:t xml:space="preserve">longtemps </w:t>
      </w:r>
      <w:r w:rsidRPr="000570E1">
        <w:t>été victime le projet euro</w:t>
      </w:r>
      <w:r w:rsidRPr="003D10D9">
        <w:t xml:space="preserve">péen. Non sans humour et ironie, </w:t>
      </w:r>
      <w:proofErr w:type="spellStart"/>
      <w:r w:rsidRPr="00B11A6E">
        <w:t>Luuk</w:t>
      </w:r>
      <w:proofErr w:type="spellEnd"/>
      <w:r w:rsidRPr="00B11A6E">
        <w:t xml:space="preserve"> </w:t>
      </w:r>
      <w:r w:rsidRPr="003A6DE5">
        <w:t xml:space="preserve">van </w:t>
      </w:r>
      <w:proofErr w:type="spellStart"/>
      <w:r w:rsidRPr="003A6DE5">
        <w:t>Middelaar</w:t>
      </w:r>
      <w:proofErr w:type="spellEnd"/>
      <w:r w:rsidRPr="003D10D9">
        <w:t xml:space="preserve"> s’attache </w:t>
      </w:r>
      <w:r>
        <w:t>à cet égard à déconstruire les dogmes et la « promesse » (237)</w:t>
      </w:r>
      <w:r w:rsidRPr="003D10D9">
        <w:t xml:space="preserve"> de ce qu’il appelle « l’idéologie bruxel</w:t>
      </w:r>
      <w:r>
        <w:t>loise » (251, 256, 263)</w:t>
      </w:r>
      <w:r w:rsidRPr="003D10D9">
        <w:t xml:space="preserve">, ses articles de foi </w:t>
      </w:r>
      <w:r>
        <w:t>qui confinent au manichéisme (258),</w:t>
      </w:r>
      <w:r w:rsidRPr="003D10D9">
        <w:t xml:space="preserve"> son évangile qu</w:t>
      </w:r>
      <w:r>
        <w:t>i exclut</w:t>
      </w:r>
      <w:r w:rsidRPr="003D10D9">
        <w:t xml:space="preserve"> le doute</w:t>
      </w:r>
      <w:r>
        <w:t xml:space="preserve"> et réclame l’enthousiasme</w:t>
      </w:r>
      <w:r w:rsidRPr="003D10D9">
        <w:t xml:space="preserve">, son </w:t>
      </w:r>
      <w:r>
        <w:t>culte des saints (340) et son « zèle</w:t>
      </w:r>
      <w:r w:rsidRPr="003D10D9">
        <w:t xml:space="preserve"> missionnaire</w:t>
      </w:r>
      <w:r>
        <w:t xml:space="preserve"> » qui poussent à l’entretien d’un processus sans fin de construction </w:t>
      </w:r>
      <w:r w:rsidRPr="00F16F03">
        <w:t>(</w:t>
      </w:r>
      <w:r>
        <w:t xml:space="preserve">239, </w:t>
      </w:r>
      <w:r w:rsidRPr="00F16F03">
        <w:t>241,</w:t>
      </w:r>
      <w:r>
        <w:t xml:space="preserve"> 255,</w:t>
      </w:r>
      <w:r w:rsidRPr="00F16F03">
        <w:t xml:space="preserve"> 340). </w:t>
      </w:r>
      <w:r>
        <w:t xml:space="preserve">Le recours à ce registre messianique de légitimité peut se comprendre historiquement (pensons aux analyses de Joseph H. H. </w:t>
      </w:r>
      <w:proofErr w:type="spellStart"/>
      <w:r>
        <w:t>Weiler</w:t>
      </w:r>
      <w:proofErr w:type="spellEnd"/>
      <w:r>
        <w:rPr>
          <w:rStyle w:val="Appelnotedebasdep"/>
          <w:rFonts w:ascii="Times New Roman" w:hAnsi="Times New Roman" w:cs="Times New Roman"/>
        </w:rPr>
        <w:footnoteReference w:id="5"/>
      </w:r>
      <w:r>
        <w:t xml:space="preserve">) ; il n’en a pas moins produit toute une série d’effets pervers, au premier rang desquels un aplatissement, voire un refus, du débat politique sur l’Europe. Toute expression de scepticisme a ainsi pu être interprétée comme de l’incroyance ou de l’hérésie (122, 341), au point de faire apparaître l’Europe comme le produit d’une politique du fait accompli (346) et de renvoyer ses opposants les plus irréductibles </w:t>
      </w:r>
      <w:r w:rsidR="002E769F">
        <w:t>à la</w:t>
      </w:r>
      <w:r>
        <w:t xml:space="preserve"> seul</w:t>
      </w:r>
      <w:r w:rsidR="002E769F">
        <w:t>e</w:t>
      </w:r>
      <w:r>
        <w:t xml:space="preserve"> échappatoire de l’</w:t>
      </w:r>
      <w:r w:rsidRPr="00700E4B">
        <w:rPr>
          <w:i/>
        </w:rPr>
        <w:t>exit</w:t>
      </w:r>
      <w:r>
        <w:t xml:space="preserve"> (352).</w:t>
      </w:r>
    </w:p>
    <w:p w14:paraId="28C00F96" w14:textId="2DCFE3A0" w:rsidR="00AB49D9" w:rsidRDefault="00AB49D9" w:rsidP="00AB49D9">
      <w:pPr>
        <w:pStyle w:val="Corps"/>
      </w:pPr>
      <w:r>
        <w:t xml:space="preserve">Pour devenir un objet politique, donc sujet à la critique, l’Europe doit sortir de son âge religieux, dit en substance </w:t>
      </w:r>
      <w:proofErr w:type="spellStart"/>
      <w:r w:rsidRPr="00B11A6E">
        <w:t>Luuk</w:t>
      </w:r>
      <w:proofErr w:type="spellEnd"/>
      <w:r w:rsidRPr="00B11A6E">
        <w:t xml:space="preserve"> </w:t>
      </w:r>
      <w:r w:rsidRPr="003A6DE5">
        <w:t xml:space="preserve">van </w:t>
      </w:r>
      <w:proofErr w:type="spellStart"/>
      <w:r w:rsidRPr="003A6DE5">
        <w:t>Middelaar</w:t>
      </w:r>
      <w:proofErr w:type="spellEnd"/>
      <w:r>
        <w:t>, et rendre la contradiction légitime. Mais il n’est pas sûr que son fonctionnement consensuel et l’importance qu’elle accorde aux institutions non majoritaires lui permettront de faire émerger l’opposition classique dont elle a besoin. Il n’est pas davantage certain que ce mode d’organisation non majoritaire, d’ailleurs pratiqué dans bon nombre d’États membres, constitue un stade transitoire de la vie politique de l’Union destiné à être dépassé.</w:t>
      </w:r>
    </w:p>
    <w:p w14:paraId="6B22A3AA" w14:textId="77777777" w:rsidR="00AB49D9" w:rsidRDefault="00AB49D9" w:rsidP="00AB49D9">
      <w:pPr>
        <w:pStyle w:val="VDIIntertitre"/>
      </w:pPr>
      <w:r>
        <w:lastRenderedPageBreak/>
        <w:t>Un déséquilibre entre liberté et protection</w:t>
      </w:r>
    </w:p>
    <w:p w14:paraId="2AED971D" w14:textId="77777777" w:rsidR="00AB49D9" w:rsidRDefault="00AB49D9" w:rsidP="00AB49D9">
      <w:pPr>
        <w:pStyle w:val="Corps"/>
      </w:pP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cible son attention</w:t>
      </w:r>
      <w:r w:rsidRPr="006A25A7">
        <w:t xml:space="preserve"> sur la </w:t>
      </w:r>
      <w:r>
        <w:t>« </w:t>
      </w:r>
      <w:r w:rsidRPr="00EB1276">
        <w:rPr>
          <w:i/>
        </w:rPr>
        <w:t>forme</w:t>
      </w:r>
      <w:r>
        <w:t> »</w:t>
      </w:r>
      <w:r w:rsidRPr="006A25A7">
        <w:t xml:space="preserve"> politique </w:t>
      </w:r>
      <w:r>
        <w:t xml:space="preserve">de l’Union et s’intéresse finalement </w:t>
      </w:r>
      <w:r w:rsidRPr="006A25A7">
        <w:t xml:space="preserve">très peu </w:t>
      </w:r>
      <w:r>
        <w:t xml:space="preserve">au </w:t>
      </w:r>
      <w:r w:rsidRPr="006A25A7">
        <w:t>« </w:t>
      </w:r>
      <w:r w:rsidRPr="00EB1276">
        <w:rPr>
          <w:i/>
        </w:rPr>
        <w:t>contenu</w:t>
      </w:r>
      <w:r w:rsidRPr="006A25A7">
        <w:t xml:space="preserve"> » des politiques </w:t>
      </w:r>
      <w:r>
        <w:t xml:space="preserve">menées </w:t>
      </w:r>
      <w:r w:rsidRPr="006A25A7">
        <w:t xml:space="preserve">(356). </w:t>
      </w:r>
      <w:r>
        <w:t>Ce parti pris donne une très grande unité à son ouvrage mais le fait passer à côté des enjeux essentiels du moment. Rien n’est dit, ou presque, sur les choix économiques de l’Union – comme si l</w:t>
      </w:r>
      <w:r w:rsidRPr="006A25A7">
        <w:t xml:space="preserve">a mise </w:t>
      </w:r>
      <w:proofErr w:type="spellStart"/>
      <w:r w:rsidRPr="006A25A7">
        <w:t>au devant</w:t>
      </w:r>
      <w:proofErr w:type="spellEnd"/>
      <w:r w:rsidRPr="006A25A7">
        <w:t xml:space="preserve"> de la scène de la « haute politique » (247) </w:t>
      </w:r>
      <w:r>
        <w:t>était de nature à effacer la réalité quotidienne</w:t>
      </w:r>
      <w:r w:rsidRPr="006A25A7">
        <w:t>.</w:t>
      </w:r>
    </w:p>
    <w:p w14:paraId="77CAEBCE" w14:textId="479E105E" w:rsidR="00AB49D9" w:rsidRPr="006A25A7" w:rsidRDefault="00AB49D9" w:rsidP="00AB49D9">
      <w:pPr>
        <w:pStyle w:val="Corps"/>
      </w:pPr>
      <w:r>
        <w:t xml:space="preserve">Bien sûr, dans son analyse de </w:t>
      </w:r>
      <w:r w:rsidRPr="006A25A7">
        <w:t>la « crise atlantique »</w:t>
      </w:r>
      <w:r>
        <w:t xml:space="preserve"> (177-216), à savoir la victoire du </w:t>
      </w:r>
      <w:proofErr w:type="spellStart"/>
      <w:r>
        <w:rPr>
          <w:i/>
        </w:rPr>
        <w:t>l</w:t>
      </w:r>
      <w:r w:rsidRPr="00456096">
        <w:rPr>
          <w:i/>
        </w:rPr>
        <w:t>eave</w:t>
      </w:r>
      <w:proofErr w:type="spellEnd"/>
      <w:r>
        <w:t xml:space="preserve"> au Royaume-Uni et celle de D. </w:t>
      </w:r>
      <w:proofErr w:type="spellStart"/>
      <w:r>
        <w:t>Trump</w:t>
      </w:r>
      <w:proofErr w:type="spellEnd"/>
      <w:r>
        <w:t xml:space="preserve"> aux États-Unis, </w:t>
      </w:r>
      <w:proofErr w:type="spellStart"/>
      <w:r w:rsidRPr="00B11A6E">
        <w:t>Luuk</w:t>
      </w:r>
      <w:proofErr w:type="spellEnd"/>
      <w:r w:rsidRPr="00B11A6E">
        <w:t xml:space="preserve"> </w:t>
      </w:r>
      <w:r w:rsidRPr="003A6DE5">
        <w:t xml:space="preserve">van </w:t>
      </w:r>
      <w:proofErr w:type="spellStart"/>
      <w:r w:rsidRPr="003A6DE5">
        <w:t>Middelaar</w:t>
      </w:r>
      <w:proofErr w:type="spellEnd"/>
      <w:r>
        <w:t xml:space="preserve">, qui interprète justement </w:t>
      </w:r>
      <w:r w:rsidRPr="00456096">
        <w:t>ce</w:t>
      </w:r>
      <w:r>
        <w:t xml:space="preserve"> </w:t>
      </w:r>
      <w:r w:rsidRPr="00456096">
        <w:t>« double attentat électoral »</w:t>
      </w:r>
      <w:r>
        <w:t xml:space="preserve"> de l’année 2016</w:t>
      </w:r>
      <w:r w:rsidRPr="00456096">
        <w:t xml:space="preserve"> (197) comme un rejet des effets pervers de l’ouverture économique tous azimuts, appelle de ses vœux l’avènement d’une Europe qui protège (194,</w:t>
      </w:r>
      <w:r>
        <w:t xml:space="preserve"> 400). Bien sûr, il décrit avec subtilité le difficile « </w:t>
      </w:r>
      <w:r w:rsidRPr="00AE6930">
        <w:rPr>
          <w:i/>
        </w:rPr>
        <w:t>couplage</w:t>
      </w:r>
      <w:r>
        <w:t xml:space="preserve"> » </w:t>
      </w:r>
      <w:r w:rsidRPr="006A25A7">
        <w:t>entre responsabil</w:t>
      </w:r>
      <w:r>
        <w:t>ité et solidarité à l’échelle européenne (99, 173), en rétablissant</w:t>
      </w:r>
      <w:r w:rsidRPr="006A25A7">
        <w:t xml:space="preserve"> </w:t>
      </w:r>
      <w:r>
        <w:t xml:space="preserve">au passage </w:t>
      </w:r>
      <w:r w:rsidRPr="006A25A7">
        <w:t>quelques vérités su</w:t>
      </w:r>
      <w:r>
        <w:t>r l’épisode grec (350, 386). Bien sûr,</w:t>
      </w:r>
      <w:r w:rsidRPr="006A25A7">
        <w:t xml:space="preserve"> </w:t>
      </w:r>
      <w:r>
        <w:t xml:space="preserve">il </w:t>
      </w:r>
      <w:r w:rsidRPr="006A25A7">
        <w:t>reprend à son c</w:t>
      </w:r>
      <w:r>
        <w:t>ompte les propositions de D. </w:t>
      </w:r>
      <w:r w:rsidRPr="006A25A7">
        <w:t>Grimm qui ap</w:t>
      </w:r>
      <w:r>
        <w:t>pelle à déconstitutionnaliser l’essentiel de la</w:t>
      </w:r>
      <w:r w:rsidRPr="006A25A7">
        <w:t xml:space="preserve"> partie III du trai</w:t>
      </w:r>
      <w:r>
        <w:t>té (361</w:t>
      </w:r>
      <w:r w:rsidRPr="006A25A7">
        <w:t>). Mais</w:t>
      </w:r>
      <w:r>
        <w:t>, au regard de l’ambition du propos,</w:t>
      </w:r>
      <w:r w:rsidRPr="006A25A7">
        <w:t xml:space="preserve"> il ne ré</w:t>
      </w:r>
      <w:r>
        <w:t>serve</w:t>
      </w:r>
      <w:r w:rsidRPr="006A25A7">
        <w:t xml:space="preserve"> pas suffisamment </w:t>
      </w:r>
      <w:r>
        <w:t>de place</w:t>
      </w:r>
      <w:r w:rsidRPr="006A25A7">
        <w:t xml:space="preserve"> </w:t>
      </w:r>
      <w:r>
        <w:t xml:space="preserve">au décryptage de </w:t>
      </w:r>
      <w:r w:rsidRPr="006A25A7">
        <w:t>ce qui est pourtant le principal défi de l’Europe</w:t>
      </w:r>
      <w:r>
        <w:t xml:space="preserve"> aujourd’hui</w:t>
      </w:r>
      <w:r w:rsidRPr="006A25A7">
        <w:t xml:space="preserve"> : l’asymétrie criante entre la </w:t>
      </w:r>
      <w:r>
        <w:t>sacralisation</w:t>
      </w:r>
      <w:r w:rsidRPr="006A25A7">
        <w:t xml:space="preserve"> des libertés économiques</w:t>
      </w:r>
      <w:r w:rsidR="002E769F">
        <w:t>,</w:t>
      </w:r>
      <w:r w:rsidRPr="006A25A7">
        <w:t xml:space="preserve"> constitutive du Marché intérieur</w:t>
      </w:r>
      <w:r w:rsidR="002E769F">
        <w:t>,</w:t>
      </w:r>
      <w:r w:rsidRPr="006A25A7">
        <w:t xml:space="preserve"> et la </w:t>
      </w:r>
      <w:proofErr w:type="spellStart"/>
      <w:r w:rsidRPr="006A25A7">
        <w:t>secondarisation</w:t>
      </w:r>
      <w:proofErr w:type="spellEnd"/>
      <w:r>
        <w:t xml:space="preserve"> </w:t>
      </w:r>
      <w:r w:rsidRPr="006A25A7">
        <w:t>des dispositifs de protection</w:t>
      </w:r>
      <w:r>
        <w:t xml:space="preserve"> propres à chaque État</w:t>
      </w:r>
      <w:r w:rsidRPr="006A25A7">
        <w:t> ; le déficit persistant de convergence économique, faute de solidarité suffisante, et, corollairement, la mise e</w:t>
      </w:r>
      <w:r>
        <w:t>n concurrence sociale et fiscale entre États membres</w:t>
      </w:r>
      <w:r w:rsidRPr="006A25A7">
        <w:t xml:space="preserve"> qui </w:t>
      </w:r>
      <w:r>
        <w:t>sévit depuis l’</w:t>
      </w:r>
      <w:r w:rsidRPr="006A25A7">
        <w:t xml:space="preserve">élargissement </w:t>
      </w:r>
      <w:r>
        <w:t>de 2004.</w:t>
      </w:r>
    </w:p>
    <w:p w14:paraId="7797E9FA" w14:textId="77777777" w:rsidR="00AB49D9" w:rsidRDefault="00AB49D9" w:rsidP="00473BC4">
      <w:pPr>
        <w:pStyle w:val="VDIRecens"/>
      </w:pPr>
    </w:p>
    <w:p w14:paraId="764614B3" w14:textId="29F055D2" w:rsidR="00473BC4" w:rsidRPr="00473BC4" w:rsidRDefault="00473BC4" w:rsidP="00473BC4">
      <w:pPr>
        <w:pStyle w:val="VDIdate"/>
      </w:pPr>
      <w:r>
        <w:t xml:space="preserve">Publié dans laviedesidees.fr le </w:t>
      </w:r>
      <w:r w:rsidR="002E769F">
        <w:t xml:space="preserve">9 </w:t>
      </w:r>
      <w:r>
        <w:t>janvier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43DD2" w14:textId="77777777" w:rsidR="00D2077B" w:rsidRDefault="00D2077B">
      <w:r>
        <w:separator/>
      </w:r>
    </w:p>
  </w:endnote>
  <w:endnote w:type="continuationSeparator" w:id="0">
    <w:p w14:paraId="19A56B6C" w14:textId="77777777" w:rsidR="00D2077B" w:rsidRDefault="00D2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CA3A7" w14:textId="77777777" w:rsidR="00D2077B" w:rsidRDefault="00D2077B">
      <w:r>
        <w:separator/>
      </w:r>
    </w:p>
  </w:footnote>
  <w:footnote w:type="continuationSeparator" w:id="0">
    <w:p w14:paraId="6A9B52D5" w14:textId="77777777" w:rsidR="00D2077B" w:rsidRDefault="00D2077B">
      <w:r>
        <w:continuationSeparator/>
      </w:r>
    </w:p>
  </w:footnote>
  <w:footnote w:id="1">
    <w:p w14:paraId="3EC5277C" w14:textId="5AEA3798" w:rsidR="00AB49D9" w:rsidRPr="00B07018" w:rsidRDefault="00AB49D9" w:rsidP="00AB49D9">
      <w:pPr>
        <w:pStyle w:val="Notedebasdepage"/>
        <w:rPr>
          <w:rFonts w:ascii="Times New Roman" w:hAnsi="Times New Roman"/>
        </w:rPr>
      </w:pPr>
      <w:r w:rsidRPr="00B07018">
        <w:rPr>
          <w:rStyle w:val="Appelnotedebasdep"/>
          <w:rFonts w:ascii="Times New Roman" w:hAnsi="Times New Roman"/>
        </w:rPr>
        <w:footnoteRef/>
      </w:r>
      <w:r w:rsidRPr="00B07018">
        <w:rPr>
          <w:rFonts w:ascii="Times New Roman" w:hAnsi="Times New Roman"/>
        </w:rPr>
        <w:t xml:space="preserve"> </w:t>
      </w:r>
      <w:r>
        <w:rPr>
          <w:rFonts w:ascii="Times New Roman" w:hAnsi="Times New Roman"/>
        </w:rPr>
        <w:t xml:space="preserve">Alan </w:t>
      </w:r>
      <w:proofErr w:type="spellStart"/>
      <w:r>
        <w:rPr>
          <w:rFonts w:ascii="Times New Roman" w:hAnsi="Times New Roman"/>
        </w:rPr>
        <w:t>Milward</w:t>
      </w:r>
      <w:proofErr w:type="spellEnd"/>
      <w:r>
        <w:rPr>
          <w:rFonts w:ascii="Times New Roman" w:hAnsi="Times New Roman"/>
        </w:rPr>
        <w:t xml:space="preserve">, </w:t>
      </w:r>
      <w:r w:rsidRPr="00B07018">
        <w:rPr>
          <w:rFonts w:ascii="Times New Roman" w:hAnsi="Times New Roman"/>
          <w:i/>
        </w:rPr>
        <w:t xml:space="preserve">The </w:t>
      </w:r>
      <w:proofErr w:type="spellStart"/>
      <w:r w:rsidRPr="00B07018">
        <w:rPr>
          <w:rFonts w:ascii="Times New Roman" w:hAnsi="Times New Roman"/>
          <w:i/>
        </w:rPr>
        <w:t>European</w:t>
      </w:r>
      <w:proofErr w:type="spellEnd"/>
      <w:r w:rsidRPr="00B07018">
        <w:rPr>
          <w:rFonts w:ascii="Times New Roman" w:hAnsi="Times New Roman"/>
          <w:i/>
        </w:rPr>
        <w:t xml:space="preserve"> </w:t>
      </w:r>
      <w:proofErr w:type="spellStart"/>
      <w:r w:rsidRPr="00B07018">
        <w:rPr>
          <w:rFonts w:ascii="Times New Roman" w:hAnsi="Times New Roman"/>
          <w:i/>
        </w:rPr>
        <w:t>Rescue</w:t>
      </w:r>
      <w:proofErr w:type="spellEnd"/>
      <w:r w:rsidRPr="00B07018">
        <w:rPr>
          <w:rFonts w:ascii="Times New Roman" w:hAnsi="Times New Roman"/>
          <w:i/>
        </w:rPr>
        <w:t xml:space="preserve"> of the Nation-State</w:t>
      </w:r>
      <w:r>
        <w:rPr>
          <w:rFonts w:ascii="Times New Roman" w:hAnsi="Times New Roman"/>
        </w:rPr>
        <w:t xml:space="preserve">, Londres, </w:t>
      </w:r>
      <w:proofErr w:type="spellStart"/>
      <w:r>
        <w:rPr>
          <w:rFonts w:ascii="Times New Roman" w:hAnsi="Times New Roman"/>
        </w:rPr>
        <w:t>Routledge</w:t>
      </w:r>
      <w:proofErr w:type="spellEnd"/>
      <w:r>
        <w:rPr>
          <w:rFonts w:ascii="Times New Roman" w:hAnsi="Times New Roman"/>
        </w:rPr>
        <w:t>, 1992 (thèses réalistes</w:t>
      </w:r>
      <w:r w:rsidR="002E769F">
        <w:rPr>
          <w:rFonts w:ascii="Times New Roman" w:hAnsi="Times New Roman"/>
        </w:rPr>
        <w:t>,</w:t>
      </w:r>
      <w:r>
        <w:rPr>
          <w:rFonts w:ascii="Times New Roman" w:hAnsi="Times New Roman"/>
        </w:rPr>
        <w:t xml:space="preserve"> au sens que la théorie des relations internationales donne à cette épithète : la centralité des États et de leurs intérêts).</w:t>
      </w:r>
    </w:p>
  </w:footnote>
  <w:footnote w:id="2">
    <w:p w14:paraId="2C889E62" w14:textId="77777777" w:rsidR="00AB49D9" w:rsidRPr="00B07018" w:rsidRDefault="00AB49D9" w:rsidP="00AB49D9">
      <w:pPr>
        <w:pStyle w:val="Notedebasdepage"/>
        <w:rPr>
          <w:rFonts w:ascii="Times New Roman" w:hAnsi="Times New Roman"/>
        </w:rPr>
      </w:pPr>
      <w:r w:rsidRPr="00B07018">
        <w:rPr>
          <w:rStyle w:val="Appelnotedebasdep"/>
          <w:rFonts w:ascii="Times New Roman" w:hAnsi="Times New Roman"/>
        </w:rPr>
        <w:footnoteRef/>
      </w:r>
      <w:r w:rsidRPr="00B07018">
        <w:rPr>
          <w:rFonts w:ascii="Times New Roman" w:hAnsi="Times New Roman"/>
        </w:rPr>
        <w:t xml:space="preserve"> Voir</w:t>
      </w:r>
      <w:r>
        <w:rPr>
          <w:rFonts w:ascii="Times New Roman" w:hAnsi="Times New Roman"/>
        </w:rPr>
        <w:t>, en particulier,</w:t>
      </w:r>
      <w:r w:rsidRPr="00B07018">
        <w:rPr>
          <w:rFonts w:ascii="Times New Roman" w:hAnsi="Times New Roman"/>
        </w:rPr>
        <w:t xml:space="preserve"> Jürgen Habermas, </w:t>
      </w:r>
      <w:r w:rsidRPr="00B07018">
        <w:rPr>
          <w:rFonts w:ascii="Times New Roman" w:hAnsi="Times New Roman"/>
          <w:i/>
        </w:rPr>
        <w:t xml:space="preserve">Zur </w:t>
      </w:r>
      <w:proofErr w:type="spellStart"/>
      <w:r w:rsidRPr="00B07018">
        <w:rPr>
          <w:rFonts w:ascii="Times New Roman" w:hAnsi="Times New Roman"/>
          <w:i/>
        </w:rPr>
        <w:t>Verfassung</w:t>
      </w:r>
      <w:proofErr w:type="spellEnd"/>
      <w:r w:rsidRPr="00B07018">
        <w:rPr>
          <w:rFonts w:ascii="Times New Roman" w:hAnsi="Times New Roman"/>
          <w:i/>
        </w:rPr>
        <w:t xml:space="preserve"> </w:t>
      </w:r>
      <w:proofErr w:type="spellStart"/>
      <w:proofErr w:type="gramStart"/>
      <w:r w:rsidRPr="00B07018">
        <w:rPr>
          <w:rFonts w:ascii="Times New Roman" w:hAnsi="Times New Roman"/>
          <w:i/>
        </w:rPr>
        <w:t>Europas</w:t>
      </w:r>
      <w:proofErr w:type="spellEnd"/>
      <w:r>
        <w:rPr>
          <w:rFonts w:ascii="Times New Roman" w:hAnsi="Times New Roman"/>
          <w:i/>
        </w:rPr>
        <w:t>:</w:t>
      </w:r>
      <w:proofErr w:type="gramEnd"/>
      <w:r>
        <w:rPr>
          <w:rFonts w:ascii="Times New Roman" w:hAnsi="Times New Roman"/>
          <w:i/>
        </w:rPr>
        <w:t xml:space="preserve"> </w:t>
      </w:r>
      <w:proofErr w:type="spellStart"/>
      <w:r>
        <w:rPr>
          <w:rFonts w:ascii="Times New Roman" w:hAnsi="Times New Roman"/>
          <w:i/>
        </w:rPr>
        <w:t>Ein</w:t>
      </w:r>
      <w:proofErr w:type="spellEnd"/>
      <w:r>
        <w:rPr>
          <w:rFonts w:ascii="Times New Roman" w:hAnsi="Times New Roman"/>
          <w:i/>
        </w:rPr>
        <w:t xml:space="preserve"> </w:t>
      </w:r>
      <w:proofErr w:type="spellStart"/>
      <w:r>
        <w:rPr>
          <w:rFonts w:ascii="Times New Roman" w:hAnsi="Times New Roman"/>
          <w:i/>
        </w:rPr>
        <w:t>Essay</w:t>
      </w:r>
      <w:proofErr w:type="spellEnd"/>
      <w:r>
        <w:rPr>
          <w:rFonts w:ascii="Times New Roman" w:hAnsi="Times New Roman"/>
        </w:rPr>
        <w:t xml:space="preserve">, Berlin, </w:t>
      </w:r>
      <w:proofErr w:type="spellStart"/>
      <w:r>
        <w:rPr>
          <w:rFonts w:ascii="Times New Roman" w:hAnsi="Times New Roman"/>
        </w:rPr>
        <w:t>Suhrkamp</w:t>
      </w:r>
      <w:proofErr w:type="spellEnd"/>
      <w:r>
        <w:rPr>
          <w:rFonts w:ascii="Times New Roman" w:hAnsi="Times New Roman"/>
        </w:rPr>
        <w:t>, 2011.</w:t>
      </w:r>
    </w:p>
  </w:footnote>
  <w:footnote w:id="3">
    <w:p w14:paraId="1030E361" w14:textId="1B5C2BDF" w:rsidR="00AB49D9" w:rsidRPr="00B07018" w:rsidRDefault="00AB49D9" w:rsidP="00AB49D9">
      <w:pPr>
        <w:pStyle w:val="Notedebasdepage"/>
        <w:rPr>
          <w:rFonts w:ascii="Times New Roman" w:hAnsi="Times New Roman"/>
        </w:rPr>
      </w:pPr>
      <w:r w:rsidRPr="00B07018">
        <w:rPr>
          <w:rStyle w:val="Appelnotedebasdep"/>
          <w:rFonts w:ascii="Times New Roman" w:hAnsi="Times New Roman"/>
        </w:rPr>
        <w:footnoteRef/>
      </w:r>
      <w:r w:rsidRPr="00B07018">
        <w:rPr>
          <w:rFonts w:ascii="Times New Roman" w:hAnsi="Times New Roman"/>
        </w:rPr>
        <w:t xml:space="preserve"> </w:t>
      </w:r>
      <w:r w:rsidRPr="0064215E">
        <w:rPr>
          <w:rFonts w:ascii="Times New Roman" w:hAnsi="Times New Roman"/>
        </w:rPr>
        <w:t xml:space="preserve">Voir Richard S. Katz, Peter Mair, </w:t>
      </w:r>
      <w:r>
        <w:rPr>
          <w:rFonts w:ascii="Times New Roman" w:hAnsi="Times New Roman"/>
        </w:rPr>
        <w:t>« </w:t>
      </w:r>
      <w:proofErr w:type="spellStart"/>
      <w:r>
        <w:rPr>
          <w:rFonts w:ascii="Times New Roman" w:hAnsi="Times New Roman"/>
        </w:rPr>
        <w:t>Changing</w:t>
      </w:r>
      <w:proofErr w:type="spellEnd"/>
      <w:r>
        <w:rPr>
          <w:rFonts w:ascii="Times New Roman" w:hAnsi="Times New Roman"/>
        </w:rPr>
        <w:t xml:space="preserve"> </w:t>
      </w:r>
      <w:proofErr w:type="spellStart"/>
      <w:r>
        <w:rPr>
          <w:rFonts w:ascii="Times New Roman" w:hAnsi="Times New Roman"/>
        </w:rPr>
        <w:t>Models</w:t>
      </w:r>
      <w:proofErr w:type="spellEnd"/>
      <w:r>
        <w:rPr>
          <w:rFonts w:ascii="Times New Roman" w:hAnsi="Times New Roman"/>
        </w:rPr>
        <w:t xml:space="preserve"> of Party </w:t>
      </w:r>
      <w:proofErr w:type="spellStart"/>
      <w:r>
        <w:rPr>
          <w:rFonts w:ascii="Times New Roman" w:hAnsi="Times New Roman"/>
        </w:rPr>
        <w:t>Organization</w:t>
      </w:r>
      <w:proofErr w:type="spellEnd"/>
      <w:r>
        <w:rPr>
          <w:rFonts w:ascii="Times New Roman" w:hAnsi="Times New Roman"/>
        </w:rPr>
        <w:t xml:space="preserve"> and Party </w:t>
      </w:r>
      <w:proofErr w:type="spellStart"/>
      <w:proofErr w:type="gramStart"/>
      <w:r>
        <w:rPr>
          <w:rFonts w:ascii="Times New Roman" w:hAnsi="Times New Roman"/>
        </w:rPr>
        <w:t>Democracy</w:t>
      </w:r>
      <w:proofErr w:type="spellEnd"/>
      <w:r>
        <w:rPr>
          <w:rFonts w:ascii="Times New Roman" w:hAnsi="Times New Roman"/>
        </w:rPr>
        <w:t>:</w:t>
      </w:r>
      <w:proofErr w:type="gramEnd"/>
      <w:r>
        <w:rPr>
          <w:rFonts w:ascii="Times New Roman" w:hAnsi="Times New Roman"/>
        </w:rPr>
        <w:t xml:space="preserve"> The </w:t>
      </w:r>
      <w:proofErr w:type="spellStart"/>
      <w:r>
        <w:rPr>
          <w:rFonts w:ascii="Times New Roman" w:hAnsi="Times New Roman"/>
        </w:rPr>
        <w:t>Emergence</w:t>
      </w:r>
      <w:proofErr w:type="spellEnd"/>
      <w:r>
        <w:rPr>
          <w:rFonts w:ascii="Times New Roman" w:hAnsi="Times New Roman"/>
        </w:rPr>
        <w:t xml:space="preserve"> of the Cartel Party », </w:t>
      </w:r>
      <w:r w:rsidRPr="00B07018">
        <w:rPr>
          <w:rFonts w:ascii="Times New Roman" w:hAnsi="Times New Roman"/>
          <w:i/>
        </w:rPr>
        <w:t xml:space="preserve">Party </w:t>
      </w:r>
      <w:proofErr w:type="spellStart"/>
      <w:r w:rsidRPr="00B07018">
        <w:rPr>
          <w:rFonts w:ascii="Times New Roman" w:hAnsi="Times New Roman"/>
          <w:i/>
        </w:rPr>
        <w:t>Politics</w:t>
      </w:r>
      <w:proofErr w:type="spellEnd"/>
      <w:r>
        <w:rPr>
          <w:rFonts w:ascii="Times New Roman" w:hAnsi="Times New Roman"/>
        </w:rPr>
        <w:t>, 1995, 1 (1), p. 5-28.</w:t>
      </w:r>
    </w:p>
  </w:footnote>
  <w:footnote w:id="4">
    <w:p w14:paraId="3E8FC88B" w14:textId="77777777" w:rsidR="00AB49D9" w:rsidRPr="00B07018" w:rsidRDefault="00AB49D9" w:rsidP="00AB49D9">
      <w:pPr>
        <w:pStyle w:val="Notedebasdepage"/>
        <w:rPr>
          <w:rFonts w:ascii="Times New Roman" w:hAnsi="Times New Roman"/>
        </w:rPr>
      </w:pPr>
      <w:r w:rsidRPr="00B07018">
        <w:rPr>
          <w:rStyle w:val="Appelnotedebasdep"/>
          <w:rFonts w:ascii="Times New Roman" w:hAnsi="Times New Roman"/>
        </w:rPr>
        <w:footnoteRef/>
      </w:r>
      <w:r w:rsidRPr="00B07018">
        <w:rPr>
          <w:rFonts w:ascii="Times New Roman" w:hAnsi="Times New Roman"/>
        </w:rPr>
        <w:t xml:space="preserve"> </w:t>
      </w:r>
      <w:r>
        <w:rPr>
          <w:rFonts w:ascii="Times New Roman" w:hAnsi="Times New Roman"/>
        </w:rPr>
        <w:t xml:space="preserve">Dieter Grimm, </w:t>
      </w:r>
      <w:r w:rsidRPr="00B07018">
        <w:rPr>
          <w:rFonts w:ascii="Times New Roman" w:hAnsi="Times New Roman"/>
          <w:i/>
        </w:rPr>
        <w:t xml:space="preserve">Europa </w:t>
      </w:r>
      <w:proofErr w:type="spellStart"/>
      <w:r w:rsidRPr="00B07018">
        <w:rPr>
          <w:rFonts w:ascii="Times New Roman" w:hAnsi="Times New Roman"/>
          <w:i/>
        </w:rPr>
        <w:t>ja</w:t>
      </w:r>
      <w:proofErr w:type="spellEnd"/>
      <w:r w:rsidRPr="00B07018">
        <w:rPr>
          <w:rFonts w:ascii="Times New Roman" w:hAnsi="Times New Roman"/>
          <w:i/>
        </w:rPr>
        <w:t xml:space="preserve"> – aber </w:t>
      </w:r>
      <w:proofErr w:type="gramStart"/>
      <w:r w:rsidRPr="00B07018">
        <w:rPr>
          <w:rFonts w:ascii="Times New Roman" w:hAnsi="Times New Roman"/>
          <w:i/>
        </w:rPr>
        <w:t>welches?</w:t>
      </w:r>
      <w:proofErr w:type="gramEnd"/>
      <w:r w:rsidRPr="00B07018">
        <w:rPr>
          <w:rFonts w:ascii="Times New Roman" w:hAnsi="Times New Roman"/>
          <w:i/>
        </w:rPr>
        <w:t xml:space="preserve"> Zur </w:t>
      </w:r>
      <w:proofErr w:type="spellStart"/>
      <w:r w:rsidRPr="00B07018">
        <w:rPr>
          <w:rFonts w:ascii="Times New Roman" w:hAnsi="Times New Roman"/>
          <w:i/>
        </w:rPr>
        <w:t>Verfassung</w:t>
      </w:r>
      <w:proofErr w:type="spellEnd"/>
      <w:r w:rsidRPr="00B07018">
        <w:rPr>
          <w:rFonts w:ascii="Times New Roman" w:hAnsi="Times New Roman"/>
          <w:i/>
        </w:rPr>
        <w:t xml:space="preserve"> der </w:t>
      </w:r>
      <w:proofErr w:type="spellStart"/>
      <w:r w:rsidRPr="00B07018">
        <w:rPr>
          <w:rFonts w:ascii="Times New Roman" w:hAnsi="Times New Roman"/>
          <w:i/>
        </w:rPr>
        <w:t>europäischen</w:t>
      </w:r>
      <w:proofErr w:type="spellEnd"/>
      <w:r w:rsidRPr="00B07018">
        <w:rPr>
          <w:rFonts w:ascii="Times New Roman" w:hAnsi="Times New Roman"/>
          <w:i/>
        </w:rPr>
        <w:t xml:space="preserve"> </w:t>
      </w:r>
      <w:proofErr w:type="spellStart"/>
      <w:r w:rsidRPr="00B07018">
        <w:rPr>
          <w:rFonts w:ascii="Times New Roman" w:hAnsi="Times New Roman"/>
          <w:i/>
        </w:rPr>
        <w:t>Demokratie</w:t>
      </w:r>
      <w:proofErr w:type="spellEnd"/>
      <w:r>
        <w:rPr>
          <w:rFonts w:ascii="Times New Roman" w:hAnsi="Times New Roman"/>
        </w:rPr>
        <w:t>, Munich, Beck, 2016.</w:t>
      </w:r>
    </w:p>
  </w:footnote>
  <w:footnote w:id="5">
    <w:p w14:paraId="2D0D6134" w14:textId="77777777" w:rsidR="00AB49D9" w:rsidRPr="00B07018" w:rsidRDefault="00AB49D9" w:rsidP="00AB49D9">
      <w:pPr>
        <w:pStyle w:val="Notedebasdepage"/>
        <w:rPr>
          <w:rFonts w:ascii="Times New Roman" w:hAnsi="Times New Roman"/>
        </w:rPr>
      </w:pPr>
      <w:r w:rsidRPr="00B07018">
        <w:rPr>
          <w:rStyle w:val="Appelnotedebasdep"/>
          <w:rFonts w:ascii="Times New Roman" w:hAnsi="Times New Roman"/>
        </w:rPr>
        <w:footnoteRef/>
      </w:r>
      <w:r w:rsidRPr="00B07018">
        <w:rPr>
          <w:rFonts w:ascii="Times New Roman" w:hAnsi="Times New Roman"/>
        </w:rPr>
        <w:t xml:space="preserve"> </w:t>
      </w:r>
      <w:r>
        <w:rPr>
          <w:rFonts w:ascii="Times New Roman" w:hAnsi="Times New Roman"/>
        </w:rPr>
        <w:t xml:space="preserve">Joseph H. H. </w:t>
      </w:r>
      <w:proofErr w:type="spellStart"/>
      <w:r>
        <w:rPr>
          <w:rFonts w:ascii="Times New Roman" w:hAnsi="Times New Roman"/>
        </w:rPr>
        <w:t>Weiler</w:t>
      </w:r>
      <w:proofErr w:type="spellEnd"/>
      <w:r>
        <w:rPr>
          <w:rFonts w:ascii="Times New Roman" w:hAnsi="Times New Roman"/>
        </w:rPr>
        <w:t>, « </w:t>
      </w:r>
      <w:proofErr w:type="spellStart"/>
      <w:r>
        <w:rPr>
          <w:rFonts w:ascii="Times New Roman" w:hAnsi="Times New Roman"/>
        </w:rPr>
        <w:t>Deciphering</w:t>
      </w:r>
      <w:proofErr w:type="spellEnd"/>
      <w:r>
        <w:rPr>
          <w:rFonts w:ascii="Times New Roman" w:hAnsi="Times New Roman"/>
        </w:rPr>
        <w:t xml:space="preserve"> the </w:t>
      </w:r>
      <w:proofErr w:type="spellStart"/>
      <w:r>
        <w:rPr>
          <w:rFonts w:ascii="Times New Roman" w:hAnsi="Times New Roman"/>
        </w:rPr>
        <w:t>Political</w:t>
      </w:r>
      <w:proofErr w:type="spellEnd"/>
      <w:r>
        <w:rPr>
          <w:rFonts w:ascii="Times New Roman" w:hAnsi="Times New Roman"/>
        </w:rPr>
        <w:t xml:space="preserve"> and </w:t>
      </w:r>
      <w:proofErr w:type="spellStart"/>
      <w:r>
        <w:rPr>
          <w:rFonts w:ascii="Times New Roman" w:hAnsi="Times New Roman"/>
        </w:rPr>
        <w:t>Legal</w:t>
      </w:r>
      <w:proofErr w:type="spellEnd"/>
      <w:r>
        <w:rPr>
          <w:rFonts w:ascii="Times New Roman" w:hAnsi="Times New Roman"/>
        </w:rPr>
        <w:t xml:space="preserve"> DNA of </w:t>
      </w:r>
      <w:proofErr w:type="spellStart"/>
      <w:r>
        <w:rPr>
          <w:rFonts w:ascii="Times New Roman" w:hAnsi="Times New Roman"/>
        </w:rPr>
        <w:t>European</w:t>
      </w:r>
      <w:proofErr w:type="spellEnd"/>
      <w:r>
        <w:rPr>
          <w:rFonts w:ascii="Times New Roman" w:hAnsi="Times New Roman"/>
        </w:rPr>
        <w:t xml:space="preserve"> </w:t>
      </w:r>
      <w:proofErr w:type="spellStart"/>
      <w:proofErr w:type="gramStart"/>
      <w:r>
        <w:rPr>
          <w:rFonts w:ascii="Times New Roman" w:hAnsi="Times New Roman"/>
        </w:rPr>
        <w:t>Integration</w:t>
      </w:r>
      <w:proofErr w:type="spellEnd"/>
      <w:r>
        <w:rPr>
          <w:rFonts w:ascii="Times New Roman" w:hAnsi="Times New Roman"/>
        </w:rPr>
        <w:t>:</w:t>
      </w:r>
      <w:proofErr w:type="gramEnd"/>
      <w:r>
        <w:rPr>
          <w:rFonts w:ascii="Times New Roman" w:hAnsi="Times New Roman"/>
        </w:rPr>
        <w:t xml:space="preserve"> An </w:t>
      </w:r>
      <w:proofErr w:type="spellStart"/>
      <w:r>
        <w:rPr>
          <w:rFonts w:ascii="Times New Roman" w:hAnsi="Times New Roman"/>
        </w:rPr>
        <w:t>Exploratory</w:t>
      </w:r>
      <w:proofErr w:type="spellEnd"/>
      <w:r>
        <w:rPr>
          <w:rFonts w:ascii="Times New Roman" w:hAnsi="Times New Roman"/>
        </w:rPr>
        <w:t xml:space="preserve"> </w:t>
      </w:r>
      <w:proofErr w:type="spellStart"/>
      <w:r>
        <w:rPr>
          <w:rFonts w:ascii="Times New Roman" w:hAnsi="Times New Roman"/>
        </w:rPr>
        <w:t>Essay</w:t>
      </w:r>
      <w:proofErr w:type="spellEnd"/>
      <w:r>
        <w:rPr>
          <w:rFonts w:ascii="Times New Roman" w:hAnsi="Times New Roman"/>
        </w:rPr>
        <w:t xml:space="preserve"> », </w:t>
      </w:r>
      <w:r w:rsidRPr="00B07018">
        <w:rPr>
          <w:rFonts w:ascii="Times New Roman" w:hAnsi="Times New Roman"/>
          <w:i/>
        </w:rPr>
        <w:t>in</w:t>
      </w:r>
      <w:r>
        <w:rPr>
          <w:rFonts w:ascii="Times New Roman" w:hAnsi="Times New Roman"/>
        </w:rPr>
        <w:t xml:space="preserve"> Julie Dickson &amp; </w:t>
      </w:r>
      <w:proofErr w:type="spellStart"/>
      <w:r>
        <w:rPr>
          <w:rFonts w:ascii="Times New Roman" w:hAnsi="Times New Roman"/>
        </w:rPr>
        <w:t>Pavlos</w:t>
      </w:r>
      <w:proofErr w:type="spellEnd"/>
      <w:r>
        <w:rPr>
          <w:rFonts w:ascii="Times New Roman" w:hAnsi="Times New Roman"/>
        </w:rPr>
        <w:t xml:space="preserve"> </w:t>
      </w:r>
      <w:proofErr w:type="spellStart"/>
      <w:r>
        <w:rPr>
          <w:rFonts w:ascii="Times New Roman" w:hAnsi="Times New Roman"/>
        </w:rPr>
        <w:t>Eleftheriadis</w:t>
      </w:r>
      <w:proofErr w:type="spellEnd"/>
      <w:r>
        <w:rPr>
          <w:rFonts w:ascii="Times New Roman" w:hAnsi="Times New Roman"/>
        </w:rPr>
        <w:t xml:space="preserve"> (</w:t>
      </w:r>
      <w:proofErr w:type="spellStart"/>
      <w:r>
        <w:rPr>
          <w:rFonts w:ascii="Times New Roman" w:hAnsi="Times New Roman"/>
        </w:rPr>
        <w:t>eds</w:t>
      </w:r>
      <w:proofErr w:type="spellEnd"/>
      <w:r>
        <w:rPr>
          <w:rFonts w:ascii="Times New Roman" w:hAnsi="Times New Roman"/>
        </w:rPr>
        <w:t xml:space="preserve">), </w:t>
      </w:r>
      <w:proofErr w:type="spellStart"/>
      <w:r w:rsidRPr="00B07018">
        <w:rPr>
          <w:rFonts w:ascii="Times New Roman" w:hAnsi="Times New Roman"/>
          <w:i/>
        </w:rPr>
        <w:t>Philosophical</w:t>
      </w:r>
      <w:proofErr w:type="spellEnd"/>
      <w:r w:rsidRPr="00B07018">
        <w:rPr>
          <w:rFonts w:ascii="Times New Roman" w:hAnsi="Times New Roman"/>
          <w:i/>
        </w:rPr>
        <w:t xml:space="preserve"> </w:t>
      </w:r>
      <w:proofErr w:type="spellStart"/>
      <w:r w:rsidRPr="00B07018">
        <w:rPr>
          <w:rFonts w:ascii="Times New Roman" w:hAnsi="Times New Roman"/>
          <w:i/>
        </w:rPr>
        <w:t>Foundations</w:t>
      </w:r>
      <w:proofErr w:type="spellEnd"/>
      <w:r w:rsidRPr="00B07018">
        <w:rPr>
          <w:rFonts w:ascii="Times New Roman" w:hAnsi="Times New Roman"/>
          <w:i/>
        </w:rPr>
        <w:t xml:space="preserve"> of </w:t>
      </w:r>
      <w:proofErr w:type="spellStart"/>
      <w:r w:rsidRPr="00B07018">
        <w:rPr>
          <w:rFonts w:ascii="Times New Roman" w:hAnsi="Times New Roman"/>
          <w:i/>
        </w:rPr>
        <w:t>European</w:t>
      </w:r>
      <w:proofErr w:type="spellEnd"/>
      <w:r w:rsidRPr="00B07018">
        <w:rPr>
          <w:rFonts w:ascii="Times New Roman" w:hAnsi="Times New Roman"/>
          <w:i/>
        </w:rPr>
        <w:t xml:space="preserve"> Law</w:t>
      </w:r>
      <w:r>
        <w:rPr>
          <w:rFonts w:ascii="Times New Roman" w:hAnsi="Times New Roman"/>
        </w:rPr>
        <w:t xml:space="preserve">, Oxford, Oxford </w:t>
      </w:r>
      <w:proofErr w:type="spellStart"/>
      <w:r>
        <w:rPr>
          <w:rFonts w:ascii="Times New Roman" w:hAnsi="Times New Roman"/>
        </w:rPr>
        <w:t>University</w:t>
      </w:r>
      <w:proofErr w:type="spellEnd"/>
      <w:r>
        <w:rPr>
          <w:rFonts w:ascii="Times New Roman" w:hAnsi="Times New Roman"/>
        </w:rPr>
        <w:t xml:space="preserve"> </w:t>
      </w:r>
      <w:proofErr w:type="spellStart"/>
      <w:r>
        <w:rPr>
          <w:rFonts w:ascii="Times New Roman" w:hAnsi="Times New Roman"/>
        </w:rPr>
        <w:t>Press</w:t>
      </w:r>
      <w:proofErr w:type="spellEnd"/>
      <w:r>
        <w:rPr>
          <w:rFonts w:ascii="Times New Roman" w:hAnsi="Times New Roman"/>
        </w:rPr>
        <w:t>, 2012, p. 137-158.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363B1"/>
    <w:rsid w:val="000462B1"/>
    <w:rsid w:val="00076CDA"/>
    <w:rsid w:val="000864BD"/>
    <w:rsid w:val="000C3EA2"/>
    <w:rsid w:val="000D1ADD"/>
    <w:rsid w:val="000E10DC"/>
    <w:rsid w:val="000E1207"/>
    <w:rsid w:val="00100FDE"/>
    <w:rsid w:val="001437A3"/>
    <w:rsid w:val="001A60CD"/>
    <w:rsid w:val="001B1197"/>
    <w:rsid w:val="001B22FA"/>
    <w:rsid w:val="001C0661"/>
    <w:rsid w:val="001E233F"/>
    <w:rsid w:val="001E4C4E"/>
    <w:rsid w:val="00201FAC"/>
    <w:rsid w:val="00235E33"/>
    <w:rsid w:val="002875C5"/>
    <w:rsid w:val="00292A29"/>
    <w:rsid w:val="002E769F"/>
    <w:rsid w:val="002F4EFA"/>
    <w:rsid w:val="003616E4"/>
    <w:rsid w:val="00370594"/>
    <w:rsid w:val="003A3728"/>
    <w:rsid w:val="003B1DDC"/>
    <w:rsid w:val="00411810"/>
    <w:rsid w:val="00424A7A"/>
    <w:rsid w:val="00427A80"/>
    <w:rsid w:val="004316DF"/>
    <w:rsid w:val="00437286"/>
    <w:rsid w:val="00440B6F"/>
    <w:rsid w:val="00463500"/>
    <w:rsid w:val="00472187"/>
    <w:rsid w:val="00473BC4"/>
    <w:rsid w:val="00481F8F"/>
    <w:rsid w:val="004D6529"/>
    <w:rsid w:val="004F57E5"/>
    <w:rsid w:val="005069BE"/>
    <w:rsid w:val="0053174B"/>
    <w:rsid w:val="0054181B"/>
    <w:rsid w:val="005A105D"/>
    <w:rsid w:val="005A77EA"/>
    <w:rsid w:val="005C5829"/>
    <w:rsid w:val="00604921"/>
    <w:rsid w:val="00617961"/>
    <w:rsid w:val="00632336"/>
    <w:rsid w:val="0063372A"/>
    <w:rsid w:val="006432B1"/>
    <w:rsid w:val="00665400"/>
    <w:rsid w:val="00681218"/>
    <w:rsid w:val="0072515D"/>
    <w:rsid w:val="0073080B"/>
    <w:rsid w:val="00740D4F"/>
    <w:rsid w:val="007701E0"/>
    <w:rsid w:val="007922AF"/>
    <w:rsid w:val="00792FBC"/>
    <w:rsid w:val="007A1268"/>
    <w:rsid w:val="007B5D97"/>
    <w:rsid w:val="007C2A2E"/>
    <w:rsid w:val="007C72BE"/>
    <w:rsid w:val="007E729E"/>
    <w:rsid w:val="00803108"/>
    <w:rsid w:val="00825C8F"/>
    <w:rsid w:val="00865D74"/>
    <w:rsid w:val="00865FAE"/>
    <w:rsid w:val="008C7D8A"/>
    <w:rsid w:val="008D57AB"/>
    <w:rsid w:val="008E46DD"/>
    <w:rsid w:val="008E5CFF"/>
    <w:rsid w:val="009243CE"/>
    <w:rsid w:val="009403BD"/>
    <w:rsid w:val="00961394"/>
    <w:rsid w:val="0098253B"/>
    <w:rsid w:val="009F57ED"/>
    <w:rsid w:val="00A8559A"/>
    <w:rsid w:val="00A9074C"/>
    <w:rsid w:val="00AB49D9"/>
    <w:rsid w:val="00AD258A"/>
    <w:rsid w:val="00AE08CB"/>
    <w:rsid w:val="00AE4248"/>
    <w:rsid w:val="00B05675"/>
    <w:rsid w:val="00B24251"/>
    <w:rsid w:val="00B83048"/>
    <w:rsid w:val="00B90D39"/>
    <w:rsid w:val="00BB0030"/>
    <w:rsid w:val="00BB1A65"/>
    <w:rsid w:val="00BB5C99"/>
    <w:rsid w:val="00BC76CE"/>
    <w:rsid w:val="00C156FA"/>
    <w:rsid w:val="00C35861"/>
    <w:rsid w:val="00C4159A"/>
    <w:rsid w:val="00C44BCE"/>
    <w:rsid w:val="00C71D32"/>
    <w:rsid w:val="00C92AF8"/>
    <w:rsid w:val="00CA54CB"/>
    <w:rsid w:val="00CA6A71"/>
    <w:rsid w:val="00CD2835"/>
    <w:rsid w:val="00CD4D52"/>
    <w:rsid w:val="00CE3519"/>
    <w:rsid w:val="00CE415E"/>
    <w:rsid w:val="00D03000"/>
    <w:rsid w:val="00D06258"/>
    <w:rsid w:val="00D128B5"/>
    <w:rsid w:val="00D1716E"/>
    <w:rsid w:val="00D2077B"/>
    <w:rsid w:val="00D71999"/>
    <w:rsid w:val="00D85E7E"/>
    <w:rsid w:val="00D85FB6"/>
    <w:rsid w:val="00D9144D"/>
    <w:rsid w:val="00D960E5"/>
    <w:rsid w:val="00DA1B1B"/>
    <w:rsid w:val="00DC6878"/>
    <w:rsid w:val="00DE7787"/>
    <w:rsid w:val="00DF040B"/>
    <w:rsid w:val="00DF1D51"/>
    <w:rsid w:val="00DF54FA"/>
    <w:rsid w:val="00E213B0"/>
    <w:rsid w:val="00E248D4"/>
    <w:rsid w:val="00E623AC"/>
    <w:rsid w:val="00E64949"/>
    <w:rsid w:val="00E82115"/>
    <w:rsid w:val="00E957F2"/>
    <w:rsid w:val="00ED5C35"/>
    <w:rsid w:val="00EE1383"/>
    <w:rsid w:val="00F0353B"/>
    <w:rsid w:val="00F049B7"/>
    <w:rsid w:val="00F26986"/>
    <w:rsid w:val="00F35B05"/>
    <w:rsid w:val="00F41530"/>
    <w:rsid w:val="00F43C5F"/>
    <w:rsid w:val="00F606F9"/>
    <w:rsid w:val="00F607AA"/>
    <w:rsid w:val="00F820BC"/>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4F26B8-FF49-2E4B-B6C3-82AD7D8C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3036</Words>
  <Characters>15942</Characters>
  <Application>Microsoft Office Word</Application>
  <DocSecurity>0</DocSecurity>
  <Lines>224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2019-01-08T09:41:00Z</dcterms:created>
  <dcterms:modified xsi:type="dcterms:W3CDTF">2019-01-10T10:25:00Z</dcterms:modified>
</cp:coreProperties>
</file>